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B1" w:rsidRDefault="00801DF5">
      <w:pPr>
        <w:widowControl/>
        <w:spacing w:before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Data Breach Team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The first step is to assemble a team to manage and respond to the breach.</w:t>
      </w:r>
    </w:p>
    <w:tbl>
      <w:tblPr>
        <w:tblStyle w:val="a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Data Breach Team lead</w:t>
            </w:r>
          </w:p>
        </w:tc>
        <w:tc>
          <w:tcPr>
            <w:tcW w:w="4860" w:type="dxa"/>
          </w:tcPr>
          <w:p w:rsidR="004D39B1" w:rsidRDefault="004D39B1" w:rsidP="00FC27C0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Head of Legal</w:t>
            </w:r>
          </w:p>
        </w:tc>
        <w:tc>
          <w:tcPr>
            <w:tcW w:w="4860" w:type="dxa"/>
          </w:tcPr>
          <w:p w:rsidR="004D39B1" w:rsidRDefault="00FC27C0" w:rsidP="00FC27C0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N/A</w:t>
            </w: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Head of Compliance</w:t>
            </w:r>
          </w:p>
        </w:tc>
        <w:tc>
          <w:tcPr>
            <w:tcW w:w="4860" w:type="dxa"/>
          </w:tcPr>
          <w:p w:rsidR="004D39B1" w:rsidRDefault="00FC27C0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N/A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Head of IT</w:t>
            </w:r>
          </w:p>
        </w:tc>
        <w:tc>
          <w:tcPr>
            <w:tcW w:w="4860" w:type="dxa"/>
          </w:tcPr>
          <w:p w:rsidR="004D39B1" w:rsidRDefault="006266F6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N/A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</w:t>
            </w:r>
            <w:r>
              <w:rPr>
                <w:rFonts w:ascii="Verdana" w:eastAsia="Verdana" w:hAnsi="Verdana" w:cs="Verdana"/>
                <w:i/>
              </w:rPr>
              <w:t>Insert any other, e.g. Head of HR if the breach involves employee data</w:t>
            </w:r>
            <w:r>
              <w:rPr>
                <w:rFonts w:ascii="Verdana" w:eastAsia="Verdana" w:hAnsi="Verdana" w:cs="Verdana"/>
              </w:rPr>
              <w:t>]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6266F6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N/A</w:t>
            </w: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960"/>
        <w:jc w:val="both"/>
        <w:rPr>
          <w:rFonts w:ascii="Verdana" w:eastAsia="Verdana" w:hAnsi="Verdana" w:cs="Verdana"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Background information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Refer to the data breach report form, if appropriate.</w:t>
      </w:r>
    </w:p>
    <w:tbl>
      <w:tblPr>
        <w:tblStyle w:val="a0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Name of person notifying the actual or suspected breach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Department and manager</w:t>
            </w:r>
          </w:p>
        </w:tc>
        <w:tc>
          <w:tcPr>
            <w:tcW w:w="4860" w:type="dxa"/>
          </w:tcPr>
          <w:p w:rsidR="004D39B1" w:rsidRDefault="004D39B1" w:rsidP="006266F6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of actual or suspected breach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of discovery of actual or suspected breach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Date actual or suspected breach notified internally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Preliminary assessment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As soon as possible, you should take steps to contain the breach and recover lost data. Before you can do this, however, you will need to make a preliminary assessment of what data has been lost, why and how.</w:t>
      </w:r>
    </w:p>
    <w:p w:rsidR="004D39B1" w:rsidRDefault="004D39B1">
      <w:pPr>
        <w:widowControl/>
        <w:rPr>
          <w:rFonts w:ascii="Verdana" w:eastAsia="Verdana" w:hAnsi="Verdana" w:cs="Verdana"/>
        </w:rPr>
      </w:pPr>
    </w:p>
    <w:tbl>
      <w:tblPr>
        <w:tblStyle w:val="a1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Summary of the facts</w:t>
            </w:r>
          </w:p>
        </w:tc>
        <w:tc>
          <w:tcPr>
            <w:tcW w:w="4860" w:type="dxa"/>
          </w:tcPr>
          <w:p w:rsidR="004D39B1" w:rsidRDefault="004D39B1" w:rsidP="006266F6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Categories and approximate number of data subjects concerned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Categories and approximate number of personal data records concerned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sensitive is the data?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Cause of the actual or suspected breach 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Containment and recovery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lastRenderedPageBreak/>
        <w:t xml:space="preserve">Guidance: Having assembled your data breach team and undertaken a preliminary assessment, containment and recovery should be your </w:t>
      </w:r>
      <w:proofErr w:type="gramStart"/>
      <w:r>
        <w:rPr>
          <w:rFonts w:ascii="Verdana" w:eastAsia="Verdana" w:hAnsi="Verdana" w:cs="Verdana"/>
          <w:i/>
          <w:color w:val="000000"/>
        </w:rPr>
        <w:t>first priority</w:t>
      </w:r>
      <w:proofErr w:type="gramEnd"/>
      <w:r>
        <w:rPr>
          <w:rFonts w:ascii="Verdana" w:eastAsia="Verdana" w:hAnsi="Verdana" w:cs="Verdana"/>
          <w:i/>
          <w:color w:val="000000"/>
        </w:rPr>
        <w:t>. You should consider notifying any relevant insurer, e.g. your cyber, professional indemnity or crime insurer. The insurer/broker can usually provide access to data breach management experts and cyber insurance usually covers breach response costs.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</w:rPr>
      </w:pPr>
    </w:p>
    <w:tbl>
      <w:tblPr>
        <w:tblStyle w:val="a2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the organisation have cyber insurance?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 actual or suspected breach ongoing?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steps can be taken to stop or minimise further loss, destruction or unauthorised disclosure of data?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 w:rsidP="002B6FD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immediate steps can be taken to recover, correct or delete data?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Should the breach be reported to the police, e.g. is there evidence of theft?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the organisation have crime insurance?</w:t>
            </w:r>
          </w:p>
        </w:tc>
        <w:tc>
          <w:tcPr>
            <w:tcW w:w="4860" w:type="dxa"/>
          </w:tcPr>
          <w:p w:rsidR="004D39B1" w:rsidRDefault="004D39B1" w:rsidP="00973EE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Does the organisation have any other relevant insurance, e.g. professional indemnity?</w:t>
            </w:r>
          </w:p>
        </w:tc>
        <w:tc>
          <w:tcPr>
            <w:tcW w:w="4860" w:type="dxa"/>
          </w:tcPr>
          <w:p w:rsidR="004D39B1" w:rsidRDefault="004D39B1" w:rsidP="00973EE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Detailed assessment and record keeping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Once you have taken steps to contain and recover the data, you should undertake a full assessment and record the breach in a central register.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Style w:val="a3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type of data is involved?</w:t>
            </w: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sensitive is the data?</w:t>
            </w:r>
          </w:p>
        </w:tc>
        <w:tc>
          <w:tcPr>
            <w:tcW w:w="4860" w:type="dxa"/>
          </w:tcPr>
          <w:p w:rsidR="004D39B1" w:rsidRDefault="004D39B1" w:rsidP="00973EE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Who is affected by the breach?</w:t>
            </w:r>
          </w:p>
        </w:tc>
        <w:tc>
          <w:tcPr>
            <w:tcW w:w="4860" w:type="dxa"/>
          </w:tcPr>
          <w:p w:rsidR="004D39B1" w:rsidRDefault="004D39B1" w:rsidP="00973EE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are the likely consequences of the breach on affected data subjects?</w:t>
            </w:r>
          </w:p>
        </w:tc>
        <w:tc>
          <w:tcPr>
            <w:tcW w:w="4860" w:type="dxa"/>
          </w:tcPr>
          <w:p w:rsidR="004D39B1" w:rsidRDefault="004D39B1" w:rsidP="00973EE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Where data has been lost or stolen, are there any protections in place such as encryption?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has happened to the data?</w:t>
            </w:r>
          </w:p>
        </w:tc>
        <w:tc>
          <w:tcPr>
            <w:tcW w:w="4860" w:type="dxa"/>
          </w:tcPr>
          <w:p w:rsidR="004D39B1" w:rsidRDefault="004D39B1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could the data tell a third party about the data subject?</w:t>
            </w:r>
          </w:p>
        </w:tc>
        <w:tc>
          <w:tcPr>
            <w:tcW w:w="4860" w:type="dxa"/>
          </w:tcPr>
          <w:p w:rsidR="004D39B1" w:rsidRDefault="004D39B1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 there any related or other data breaches?</w:t>
            </w: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BE1DF2">
        <w:tc>
          <w:tcPr>
            <w:tcW w:w="4298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 pattern or trend of similar breaches?</w:t>
            </w:r>
          </w:p>
        </w:tc>
        <w:tc>
          <w:tcPr>
            <w:tcW w:w="4860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BE1DF2">
        <w:tc>
          <w:tcPr>
            <w:tcW w:w="4298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Have you recorded the breach in the organisation's Data breach register?</w:t>
            </w:r>
          </w:p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BE1DF2">
        <w:tc>
          <w:tcPr>
            <w:tcW w:w="4298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Are there wider consequences to consider?</w:t>
            </w:r>
          </w:p>
        </w:tc>
        <w:tc>
          <w:tcPr>
            <w:tcW w:w="4860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BE1DF2">
        <w:tc>
          <w:tcPr>
            <w:tcW w:w="4298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BE1DF2" w:rsidRDefault="00BE1DF2" w:rsidP="00BE1DF2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Notifying data subjects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In determining whether to notify affected data subjects, you should take into consideration the ICO’s guidance that notification should have a clear purpose, e.g. to warn individuals to take protective action. This is reflected in the table below.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Style w:val="a4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can notification help the individual(s)?</w:t>
            </w:r>
          </w:p>
        </w:tc>
        <w:tc>
          <w:tcPr>
            <w:tcW w:w="4860" w:type="dxa"/>
          </w:tcPr>
          <w:p w:rsidR="004D39B1" w:rsidRDefault="004D39B1" w:rsidP="008A4015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any legal or contractual requirement to notify the data subject?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 w:rsidP="008A4015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 danger of over-notifying?</w:t>
            </w: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Guidance: Not every incident will warrant notification and notifying your entire customer-base of an issue affecting only a small percentage of customers may well cause disproportionate enquiries and work.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is the best way to notify affected individuals?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 any individuals or categories of individuals need to be treated with special care?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information should be provided to individuals about the steps they can take to protect themselves and what we can do to help them?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How should affected individuals contact the organisation for further information or to ask questions?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Will notification help the organisation meet its security obligations?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Taking the above factors into account, should affected data subjects be notified?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A769B8">
        <w:tc>
          <w:tcPr>
            <w:tcW w:w="4298" w:type="dxa"/>
          </w:tcPr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If yes to the above question:</w:t>
            </w:r>
          </w:p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</w:p>
          <w:p w:rsidR="00A769B8" w:rsidRDefault="00A769B8" w:rsidP="00A769B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Which data subjects should be notified?</w:t>
            </w:r>
          </w:p>
          <w:p w:rsidR="00A769B8" w:rsidRDefault="00A769B8" w:rsidP="00A769B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How should data subjects be notified? (See Precedents: Letter notifying data subject of data breach – short form and Public statement on data breach. These can be provided if needed.)</w:t>
            </w:r>
          </w:p>
          <w:p w:rsidR="00A769B8" w:rsidRDefault="00A769B8" w:rsidP="00A769B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What information will be provided?</w:t>
            </w:r>
          </w:p>
          <w:p w:rsidR="00A769B8" w:rsidRDefault="00A769B8" w:rsidP="00A769B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How will the organisation manage responses or request further information?</w:t>
            </w:r>
          </w:p>
          <w:p w:rsidR="00A769B8" w:rsidRDefault="00A769B8" w:rsidP="00A769B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How will the organisation track who has been notified?</w:t>
            </w:r>
          </w:p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A769B8" w:rsidTr="000B2AC0">
        <w:trPr>
          <w:trHeight w:val="2136"/>
        </w:trPr>
        <w:tc>
          <w:tcPr>
            <w:tcW w:w="4298" w:type="dxa"/>
          </w:tcPr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</w:tc>
        <w:tc>
          <w:tcPr>
            <w:tcW w:w="4860" w:type="dxa"/>
          </w:tcPr>
          <w:p w:rsidR="00A769B8" w:rsidRDefault="00A769B8" w:rsidP="00A769B8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  <w:rPr>
          <w:rFonts w:ascii="Verdana" w:eastAsia="Verdana" w:hAnsi="Verdana" w:cs="Verdana"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Notifying the ICO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Guidance: You should notify the ICO when a serious breach has occurred. If you are unsure </w:t>
      </w:r>
      <w:proofErr w:type="gramStart"/>
      <w:r>
        <w:rPr>
          <w:rFonts w:ascii="Verdana" w:eastAsia="Verdana" w:hAnsi="Verdana" w:cs="Verdana"/>
          <w:i/>
          <w:color w:val="000000"/>
        </w:rPr>
        <w:t>whether or not</w:t>
      </w:r>
      <w:proofErr w:type="gramEnd"/>
      <w:r>
        <w:rPr>
          <w:rFonts w:ascii="Verdana" w:eastAsia="Verdana" w:hAnsi="Verdana" w:cs="Verdana"/>
          <w:i/>
          <w:color w:val="000000"/>
        </w:rPr>
        <w:t xml:space="preserve"> to report, the presumption should be in favour of reporting. Consider the factors below and in [section 6.5.2 of the organisation’s data breach plan].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Style w:val="a5"/>
        <w:tblW w:w="90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Factor 1: Potential harm to data subjects 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</w:t>
            </w:r>
            <w:r>
              <w:rPr>
                <w:rFonts w:ascii="Verdana" w:eastAsia="Verdana" w:hAnsi="Verdana" w:cs="Verdana"/>
                <w:i/>
              </w:rPr>
              <w:t>Insert your conclusions on the potential harm to data subjects</w:t>
            </w:r>
            <w:r>
              <w:rPr>
                <w:rFonts w:ascii="Verdana" w:eastAsia="Verdana" w:hAnsi="Verdana" w:cs="Verdana"/>
              </w:rPr>
              <w:t>]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Guidance: This is the overriding consideration in deciding whether a breach of data security should be reported to the ICO. Detriments include emotional distress as well as both physical and financial damage. It can include:</w:t>
            </w:r>
          </w:p>
          <w:p w:rsidR="004D39B1" w:rsidRDefault="00801D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Exposure to identity theft through the release of non-public identifiers, e.g. passport number; or</w:t>
            </w:r>
          </w:p>
          <w:p w:rsidR="004D39B1" w:rsidRDefault="00801D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Information about the private aspects of a person’s life becoming known to others, e.g. financial circumstances.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Significant actual or potential detriment should be reported, whether because of the volume of data, its sensitivity or a combination of the two.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 xml:space="preserve">There is no need to report where there is little risk that individuals would suffer significant detriment, e.g. because a stolen laptop is properly </w:t>
            </w:r>
            <w:proofErr w:type="gramStart"/>
            <w:r>
              <w:rPr>
                <w:rFonts w:ascii="Verdana" w:eastAsia="Verdana" w:hAnsi="Verdana" w:cs="Verdana"/>
                <w:i/>
              </w:rPr>
              <w:t>encrypted</w:t>
            </w:r>
            <w:proofErr w:type="gramEnd"/>
            <w:r>
              <w:rPr>
                <w:rFonts w:ascii="Verdana" w:eastAsia="Verdana" w:hAnsi="Verdana" w:cs="Verdana"/>
                <w:i/>
              </w:rPr>
              <w:t xml:space="preserve"> or the information is publicly available.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Factor 2: Volume of personal data involved in the breach</w:t>
            </w: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</w:t>
            </w:r>
            <w:r>
              <w:rPr>
                <w:rFonts w:ascii="Verdana" w:eastAsia="Verdana" w:hAnsi="Verdana" w:cs="Verdana"/>
                <w:i/>
              </w:rPr>
              <w:t>Insert your conclusions on the volume of data involved</w:t>
            </w:r>
            <w:r>
              <w:rPr>
                <w:rFonts w:ascii="Verdana" w:eastAsia="Verdana" w:hAnsi="Verdana" w:cs="Verdana"/>
              </w:rPr>
              <w:t>]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Guidance: There should be a presumption to report to the ICO where:</w:t>
            </w:r>
          </w:p>
          <w:p w:rsidR="004D39B1" w:rsidRDefault="00801D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 xml:space="preserve">A large volume of personal data is concerned; and </w:t>
            </w:r>
          </w:p>
          <w:p w:rsidR="004D39B1" w:rsidRDefault="00801D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000000"/>
              </w:rPr>
            </w:pPr>
            <w:r>
              <w:rPr>
                <w:rFonts w:ascii="Verdana" w:eastAsia="Verdana" w:hAnsi="Verdana" w:cs="Verdana"/>
                <w:i/>
                <w:color w:val="000000"/>
              </w:rPr>
              <w:t>There is a real risk of individuals suffering some harm.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 xml:space="preserve">It will, however, be appropriate to report much lower volumes in some circumstances where the risk is particularly high, e.g. because of the circumstances of the loss or the extent of information about </w:t>
            </w:r>
            <w:proofErr w:type="gramStart"/>
            <w:r>
              <w:rPr>
                <w:rFonts w:ascii="Verdana" w:eastAsia="Verdana" w:hAnsi="Verdana" w:cs="Verdana"/>
                <w:i/>
              </w:rPr>
              <w:t>each individual</w:t>
            </w:r>
            <w:proofErr w:type="gramEnd"/>
            <w:r>
              <w:rPr>
                <w:rFonts w:ascii="Verdana" w:eastAsia="Verdana" w:hAnsi="Verdana" w:cs="Verdana"/>
                <w:i/>
              </w:rPr>
              <w:t>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Factor 3: Sensitivity of data</w:t>
            </w: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</w:t>
            </w:r>
            <w:r>
              <w:rPr>
                <w:rFonts w:ascii="Verdana" w:eastAsia="Verdana" w:hAnsi="Verdana" w:cs="Verdana"/>
                <w:i/>
              </w:rPr>
              <w:t>Insert your conclusions on the sensitivity of data involved</w:t>
            </w:r>
            <w:r>
              <w:rPr>
                <w:rFonts w:ascii="Verdana" w:eastAsia="Verdana" w:hAnsi="Verdana" w:cs="Verdana"/>
              </w:rPr>
              <w:t>]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>Guidance: There should be a presumption to report to the ICO where smaller amounts of personal data are involved that, if released, could cause a significant risk of individuals suffering substantial detriment, including substantial distress.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i/>
              </w:rPr>
              <w:t>This is most likely to be the case where the breach involves sensitive personal data. If the information is particularly sensitive, even a single record could trigger a report.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Decision</w:t>
            </w:r>
          </w:p>
        </w:tc>
      </w:tr>
      <w:tr w:rsidR="004D39B1">
        <w:tc>
          <w:tcPr>
            <w:tcW w:w="90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Taking the above factors into account, we [will/will not] notify the ICO.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Notifying others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Consider whether to notify others, e.g. the police, any professional regulator or business partners.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Style w:val="a6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it necessary to notify the police and/or any other relevant law enforcement authority?</w:t>
            </w:r>
          </w:p>
          <w:p w:rsidR="004D39B1" w:rsidRDefault="00801DF5">
            <w:pPr>
              <w:widowControl/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  <w:i/>
              </w:rPr>
              <w:t xml:space="preserve">Guidance: You should already have considered this issue </w:t>
            </w:r>
            <w:proofErr w:type="gramStart"/>
            <w:r>
              <w:rPr>
                <w:rFonts w:ascii="Verdana" w:eastAsia="Verdana" w:hAnsi="Verdana" w:cs="Verdana"/>
                <w:i/>
              </w:rPr>
              <w:t>for the purpose of</w:t>
            </w:r>
            <w:proofErr w:type="gramEnd"/>
            <w:r>
              <w:rPr>
                <w:rFonts w:ascii="Verdana" w:eastAsia="Verdana" w:hAnsi="Verdana" w:cs="Verdana"/>
                <w:i/>
              </w:rPr>
              <w:t xml:space="preserve"> containment and recovery (see section 4). Nevertheless, further information may now be </w:t>
            </w:r>
            <w:proofErr w:type="gramStart"/>
            <w:r>
              <w:rPr>
                <w:rFonts w:ascii="Verdana" w:eastAsia="Verdana" w:hAnsi="Verdana" w:cs="Verdana"/>
                <w:i/>
              </w:rPr>
              <w:t>available</w:t>
            </w:r>
            <w:proofErr w:type="gramEnd"/>
            <w:r>
              <w:rPr>
                <w:rFonts w:ascii="Verdana" w:eastAsia="Verdana" w:hAnsi="Verdana" w:cs="Verdana"/>
                <w:i/>
              </w:rPr>
              <w:t xml:space="preserve"> and you should consider this issue again.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  <w:p w:rsidR="004D39B1" w:rsidRDefault="004D39B1" w:rsidP="00A769B8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 is necessary to notify any professional regulator or trade body?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any legal or contractual requirement to notify any other parties, e.g. pursuant to an outsourcing contract?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[</w:t>
            </w:r>
            <w:r>
              <w:rPr>
                <w:rFonts w:ascii="Verdana" w:eastAsia="Verdana" w:hAnsi="Verdana" w:cs="Verdana"/>
                <w:i/>
              </w:rPr>
              <w:t>Insert comments</w:t>
            </w:r>
            <w:r>
              <w:rPr>
                <w:rFonts w:ascii="Verdana" w:eastAsia="Verdana" w:hAnsi="Verdana" w:cs="Verdana"/>
              </w:rPr>
              <w:t>]</w:t>
            </w:r>
          </w:p>
        </w:tc>
      </w:tr>
    </w:tbl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4D39B1" w:rsidRDefault="00801DF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Preventing future breaches</w:t>
      </w:r>
    </w:p>
    <w:p w:rsidR="004D39B1" w:rsidRDefault="00801DF5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>Guidance: You should evaluate your response to the breach and implement the changes necessary to prevent a recurrence.</w:t>
      </w:r>
    </w:p>
    <w:p w:rsidR="004D39B1" w:rsidRDefault="004D39B1">
      <w:pPr>
        <w:widowControl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</w:rPr>
      </w:pPr>
    </w:p>
    <w:tbl>
      <w:tblPr>
        <w:tblStyle w:val="a7"/>
        <w:tblW w:w="915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4860"/>
      </w:tblGrid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security measures were in place when the breach occurred?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What technical and organisational measures could be implemented to prevent the breach happening again?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 w:rsidP="00A769B8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there adequate staff awareness of security issues? Are there any gaps to fill through training or tailored advice?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it necessary to conduct a privacy risk assessment or to update the organisation’s privacy risk assessment?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Is it necessary to update the organisation’s privacy risk register?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4D39B1">
        <w:tc>
          <w:tcPr>
            <w:tcW w:w="4298" w:type="dxa"/>
          </w:tcPr>
          <w:p w:rsidR="004D39B1" w:rsidRDefault="00801DF5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Any other comments</w:t>
            </w:r>
          </w:p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</w:p>
        </w:tc>
        <w:tc>
          <w:tcPr>
            <w:tcW w:w="4860" w:type="dxa"/>
          </w:tcPr>
          <w:p w:rsidR="004D39B1" w:rsidRDefault="004D39B1">
            <w:pPr>
              <w:widowControl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</w:tr>
    </w:tbl>
    <w:p w:rsidR="004D39B1" w:rsidRDefault="004D39B1">
      <w:pPr>
        <w:rPr>
          <w:rFonts w:ascii="Verdana" w:eastAsia="Verdana" w:hAnsi="Verdana" w:cs="Verdana"/>
        </w:rPr>
      </w:pPr>
    </w:p>
    <w:sectPr w:rsidR="004D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C1A" w:rsidRDefault="00052C1A">
      <w:r>
        <w:separator/>
      </w:r>
    </w:p>
  </w:endnote>
  <w:endnote w:type="continuationSeparator" w:id="0">
    <w:p w:rsidR="00052C1A" w:rsidRDefault="0005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4D3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4D39B1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tbl>
    <w:tblPr>
      <w:tblStyle w:val="a8"/>
      <w:tblW w:w="896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08"/>
      <w:gridCol w:w="3009"/>
      <w:gridCol w:w="2948"/>
    </w:tblGrid>
    <w:tr w:rsidR="004D39B1">
      <w:tc>
        <w:tcPr>
          <w:tcW w:w="3008" w:type="dxa"/>
        </w:tcPr>
        <w:p w:rsidR="004D39B1" w:rsidRDefault="004D39B1">
          <w:pPr>
            <w:jc w:val="both"/>
            <w:rPr>
              <w:rFonts w:ascii="Verdana" w:eastAsia="Verdana" w:hAnsi="Verdana" w:cs="Verdana"/>
              <w:sz w:val="18"/>
              <w:szCs w:val="18"/>
            </w:rPr>
          </w:pPr>
        </w:p>
      </w:tc>
      <w:tc>
        <w:tcPr>
          <w:tcW w:w="3009" w:type="dxa"/>
        </w:tcPr>
        <w:p w:rsidR="004D39B1" w:rsidRDefault="00801DF5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Confidential</w:t>
          </w:r>
        </w:p>
      </w:tc>
      <w:tc>
        <w:tcPr>
          <w:tcW w:w="2948" w:type="dxa"/>
        </w:tcPr>
        <w:p w:rsidR="004D39B1" w:rsidRDefault="00801DF5">
          <w:pPr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Page 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fldChar w:fldCharType="begin"/>
          </w:r>
          <w:r>
            <w:rPr>
              <w:rFonts w:ascii="Verdana" w:eastAsia="Verdana" w:hAnsi="Verdana" w:cs="Verdana"/>
              <w:b/>
              <w:sz w:val="18"/>
              <w:szCs w:val="18"/>
            </w:rPr>
            <w:instrText>PAGE</w:instrText>
          </w:r>
          <w:r>
            <w:rPr>
              <w:rFonts w:ascii="Verdana" w:eastAsia="Verdana" w:hAnsi="Verdana" w:cs="Verdana"/>
              <w:b/>
              <w:sz w:val="18"/>
              <w:szCs w:val="18"/>
            </w:rPr>
            <w:fldChar w:fldCharType="separate"/>
          </w:r>
          <w:r w:rsidR="000B2AC0">
            <w:rPr>
              <w:rFonts w:ascii="Verdana" w:eastAsia="Verdana" w:hAnsi="Verdana" w:cs="Verdana"/>
              <w:b/>
              <w:noProof/>
              <w:sz w:val="18"/>
              <w:szCs w:val="18"/>
            </w:rPr>
            <w:t>3</w:t>
          </w:r>
          <w:r>
            <w:rPr>
              <w:rFonts w:ascii="Verdana" w:eastAsia="Verdana" w:hAnsi="Verdana" w:cs="Verdana"/>
              <w:b/>
              <w:sz w:val="18"/>
              <w:szCs w:val="18"/>
            </w:rPr>
            <w:fldChar w:fldCharType="end"/>
          </w:r>
        </w:p>
      </w:tc>
    </w:tr>
    <w:tr w:rsidR="004D39B1">
      <w:tc>
        <w:tcPr>
          <w:tcW w:w="3008" w:type="dxa"/>
        </w:tcPr>
        <w:p w:rsidR="004D39B1" w:rsidRDefault="00801DF5">
          <w:pPr>
            <w:jc w:val="both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© GRCI Law Ltd 2018</w:t>
          </w:r>
        </w:p>
      </w:tc>
      <w:tc>
        <w:tcPr>
          <w:tcW w:w="3009" w:type="dxa"/>
        </w:tcPr>
        <w:p w:rsidR="004D39B1" w:rsidRDefault="00052C1A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hyperlink r:id="rId1">
            <w:r w:rsidR="00801DF5">
              <w:rPr>
                <w:rFonts w:ascii="Verdana" w:eastAsia="Verdana" w:hAnsi="Verdana" w:cs="Verdana"/>
                <w:sz w:val="18"/>
                <w:szCs w:val="18"/>
              </w:rPr>
              <w:t>www.itgovernance.co.uk</w:t>
            </w:r>
          </w:hyperlink>
        </w:p>
      </w:tc>
      <w:tc>
        <w:tcPr>
          <w:tcW w:w="2948" w:type="dxa"/>
        </w:tcPr>
        <w:p w:rsidR="004D39B1" w:rsidRDefault="00801DF5">
          <w:pPr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Breach </w:t>
          </w:r>
          <w:proofErr w:type="gramStart"/>
          <w:r>
            <w:rPr>
              <w:rFonts w:ascii="Verdana" w:eastAsia="Verdana" w:hAnsi="Verdana" w:cs="Verdana"/>
              <w:sz w:val="18"/>
              <w:szCs w:val="18"/>
            </w:rPr>
            <w:t>assessment  v</w:t>
          </w:r>
          <w:proofErr w:type="gramEnd"/>
          <w:r>
            <w:rPr>
              <w:rFonts w:ascii="Verdana" w:eastAsia="Verdana" w:hAnsi="Verdana" w:cs="Verdana"/>
              <w:sz w:val="18"/>
              <w:szCs w:val="18"/>
            </w:rPr>
            <w:t>1.0</w:t>
          </w:r>
        </w:p>
      </w:tc>
    </w:tr>
  </w:tbl>
  <w:p w:rsidR="004D39B1" w:rsidRDefault="004D3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4D3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C1A" w:rsidRDefault="00052C1A">
      <w:r>
        <w:separator/>
      </w:r>
    </w:p>
  </w:footnote>
  <w:footnote w:type="continuationSeparator" w:id="0">
    <w:p w:rsidR="00052C1A" w:rsidRDefault="0005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4D3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801DF5">
    <w:pPr>
      <w:widowControl/>
      <w:rPr>
        <w:rFonts w:ascii="Verdana" w:eastAsia="Verdana" w:hAnsi="Verdana" w:cs="Verdana"/>
        <w:b/>
        <w:sz w:val="36"/>
        <w:szCs w:val="36"/>
      </w:rPr>
    </w:pPr>
    <w:bookmarkStart w:id="1" w:name="_gjdgxs" w:colFirst="0" w:colLast="0"/>
    <w:bookmarkEnd w:id="1"/>
    <w:r>
      <w:rPr>
        <w:rFonts w:ascii="Verdana" w:eastAsia="Verdana" w:hAnsi="Verdana" w:cs="Verdana"/>
        <w:b/>
        <w:sz w:val="36"/>
        <w:szCs w:val="36"/>
      </w:rPr>
      <w:t xml:space="preserve">Data Breach/Incident Assessment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4206240</wp:posOffset>
          </wp:positionH>
          <wp:positionV relativeFrom="paragraph">
            <wp:posOffset>-22224</wp:posOffset>
          </wp:positionV>
          <wp:extent cx="1523365" cy="6324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365" cy="632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9B1" w:rsidRDefault="004D39B1">
    <w:pPr>
      <w:widowControl/>
      <w:jc w:val="center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B1" w:rsidRDefault="004D39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E32"/>
    <w:multiLevelType w:val="multilevel"/>
    <w:tmpl w:val="53765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2208CE"/>
    <w:multiLevelType w:val="multilevel"/>
    <w:tmpl w:val="F1840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B0284D"/>
    <w:multiLevelType w:val="multilevel"/>
    <w:tmpl w:val="B31CF0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770E"/>
    <w:multiLevelType w:val="multilevel"/>
    <w:tmpl w:val="2932A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1"/>
    <w:rsid w:val="00023937"/>
    <w:rsid w:val="00052C1A"/>
    <w:rsid w:val="000B2AC0"/>
    <w:rsid w:val="002B1973"/>
    <w:rsid w:val="002B6FD1"/>
    <w:rsid w:val="004D39B1"/>
    <w:rsid w:val="006266F6"/>
    <w:rsid w:val="00752F30"/>
    <w:rsid w:val="00801DF5"/>
    <w:rsid w:val="008A4015"/>
    <w:rsid w:val="00973EE2"/>
    <w:rsid w:val="00A769B8"/>
    <w:rsid w:val="00BE1DF2"/>
    <w:rsid w:val="00C629C2"/>
    <w:rsid w:val="00F0425F"/>
    <w:rsid w:val="00F41FC4"/>
    <w:rsid w:val="00FC27C0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44FC"/>
  <w15:docId w15:val="{CB5938CE-F8D4-4373-BCC6-666301C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governance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Slatford</dc:creator>
  <cp:lastModifiedBy>Suzie Pittman</cp:lastModifiedBy>
  <cp:revision>3</cp:revision>
  <dcterms:created xsi:type="dcterms:W3CDTF">2019-01-28T14:37:00Z</dcterms:created>
  <dcterms:modified xsi:type="dcterms:W3CDTF">2019-01-28T14:38:00Z</dcterms:modified>
</cp:coreProperties>
</file>