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5"/>
        <w:tblW w:w="0" w:type="auto"/>
        <w:tblLook w:val="04A0" w:firstRow="1" w:lastRow="0" w:firstColumn="1" w:lastColumn="0" w:noHBand="0" w:noVBand="1"/>
      </w:tblPr>
      <w:tblGrid>
        <w:gridCol w:w="461"/>
        <w:gridCol w:w="12150"/>
        <w:gridCol w:w="2410"/>
      </w:tblGrid>
      <w:tr w:rsidR="005C1FCA" w:rsidTr="0008392B">
        <w:trPr>
          <w:trHeight w:val="699"/>
        </w:trPr>
        <w:tc>
          <w:tcPr>
            <w:tcW w:w="461" w:type="dxa"/>
            <w:vMerge w:val="restart"/>
          </w:tcPr>
          <w:p w:rsidR="005C1FCA" w:rsidRDefault="005C1FCA" w:rsidP="00E27014"/>
        </w:tc>
        <w:tc>
          <w:tcPr>
            <w:tcW w:w="12150" w:type="dxa"/>
            <w:shd w:val="clear" w:color="auto" w:fill="EC1571"/>
          </w:tcPr>
          <w:p w:rsidR="005C1FCA" w:rsidRPr="007C6611" w:rsidRDefault="005C1FCA" w:rsidP="00E27014">
            <w:pPr>
              <w:jc w:val="center"/>
              <w:rPr>
                <w:b/>
                <w:color w:val="FFFFFF" w:themeColor="background1"/>
              </w:rPr>
            </w:pPr>
            <w:r w:rsidRPr="007C6611">
              <w:rPr>
                <w:b/>
                <w:color w:val="FFFFFF" w:themeColor="background1"/>
              </w:rPr>
              <w:t>Maintained Schools</w:t>
            </w:r>
          </w:p>
          <w:p w:rsidR="005C1FCA" w:rsidRPr="007C6611" w:rsidRDefault="005C1FCA" w:rsidP="00E27014">
            <w:pPr>
              <w:jc w:val="center"/>
              <w:rPr>
                <w:color w:val="FFFFFF" w:themeColor="background1"/>
              </w:rPr>
            </w:pPr>
            <w:r w:rsidRPr="007C6611">
              <w:rPr>
                <w:b/>
                <w:color w:val="FFFFFF" w:themeColor="background1"/>
              </w:rPr>
              <w:t>Year Planner – AUTUMN TERM</w:t>
            </w:r>
          </w:p>
        </w:tc>
        <w:tc>
          <w:tcPr>
            <w:tcW w:w="2410" w:type="dxa"/>
            <w:shd w:val="clear" w:color="auto" w:fill="EC1571"/>
          </w:tcPr>
          <w:p w:rsidR="005C1FCA" w:rsidRPr="007C6611" w:rsidRDefault="005C1FCA" w:rsidP="005C1FCA">
            <w:pPr>
              <w:jc w:val="center"/>
              <w:rPr>
                <w:color w:val="FFFFFF" w:themeColor="background1"/>
              </w:rPr>
            </w:pPr>
            <w:r w:rsidRPr="007C6611">
              <w:rPr>
                <w:color w:val="FFFFFF" w:themeColor="background1"/>
              </w:rPr>
              <w:t>Notes</w:t>
            </w:r>
          </w:p>
        </w:tc>
      </w:tr>
      <w:tr w:rsidR="005C1FCA" w:rsidTr="0008392B">
        <w:tc>
          <w:tcPr>
            <w:tcW w:w="461" w:type="dxa"/>
            <w:vMerge/>
          </w:tcPr>
          <w:p w:rsidR="005C1FCA" w:rsidRPr="009A2045" w:rsidRDefault="005C1FCA" w:rsidP="009A2045">
            <w:pPr>
              <w:rPr>
                <w:b/>
              </w:rPr>
            </w:pPr>
          </w:p>
        </w:tc>
        <w:tc>
          <w:tcPr>
            <w:tcW w:w="12150" w:type="dxa"/>
          </w:tcPr>
          <w:p w:rsidR="005C1FCA" w:rsidRPr="009A2045" w:rsidRDefault="006B17D9" w:rsidP="006B17D9">
            <w:pPr>
              <w:rPr>
                <w:b/>
              </w:rPr>
            </w:pPr>
            <w:r>
              <w:rPr>
                <w:b/>
              </w:rPr>
              <w:t xml:space="preserve">ADMISSIONS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shd w:val="clear" w:color="auto" w:fill="auto"/>
          </w:tcPr>
          <w:p w:rsidR="005C1FCA" w:rsidRPr="005E1DF8" w:rsidRDefault="005C1FCA" w:rsidP="005363D7">
            <w:pPr>
              <w:pStyle w:val="ListParagraph"/>
              <w:numPr>
                <w:ilvl w:val="0"/>
                <w:numId w:val="11"/>
              </w:numPr>
            </w:pPr>
            <w:r w:rsidRPr="005E1DF8">
              <w:t>01 Sept: secondary application process for 2020 opens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shd w:val="clear" w:color="auto" w:fill="auto"/>
          </w:tcPr>
          <w:p w:rsidR="005C1FCA" w:rsidRPr="005E1DF8" w:rsidRDefault="005C1FCA" w:rsidP="005363D7">
            <w:pPr>
              <w:pStyle w:val="ListParagraph"/>
              <w:numPr>
                <w:ilvl w:val="0"/>
                <w:numId w:val="11"/>
              </w:numPr>
            </w:pPr>
            <w:r w:rsidRPr="005E1DF8">
              <w:t>1st m</w:t>
            </w:r>
            <w:r w:rsidR="0099097C" w:rsidRPr="005E1DF8">
              <w:t>ee</w:t>
            </w:r>
            <w:r w:rsidRPr="005E1DF8">
              <w:t>t</w:t>
            </w:r>
            <w:r w:rsidR="0099097C" w:rsidRPr="005E1DF8">
              <w:t>in</w:t>
            </w:r>
            <w:r w:rsidR="004B1F7D" w:rsidRPr="005E1DF8">
              <w:t>g:</w:t>
            </w:r>
            <w:r w:rsidRPr="005E1DF8">
              <w:t xml:space="preserve"> governors to decide whether to consult for 2021 admission; draft the proposed 2021 admissions policy for consultation if so</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shd w:val="clear" w:color="auto" w:fill="auto"/>
          </w:tcPr>
          <w:p w:rsidR="005C1FCA" w:rsidRPr="005E1DF8" w:rsidRDefault="005C1FCA" w:rsidP="005363D7">
            <w:pPr>
              <w:pStyle w:val="ListParagraph"/>
              <w:numPr>
                <w:ilvl w:val="0"/>
                <w:numId w:val="11"/>
              </w:numPr>
            </w:pPr>
            <w:r w:rsidRPr="005E1DF8">
              <w:t>From 1 Oct: consultation for 2021 can commence, to last at least 6 weeks and must finish no later than 31 Jan 2020</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shd w:val="clear" w:color="auto" w:fill="auto"/>
          </w:tcPr>
          <w:p w:rsidR="005C1FCA" w:rsidRPr="005E1DF8" w:rsidRDefault="005C1FCA" w:rsidP="005363D7">
            <w:pPr>
              <w:pStyle w:val="ListParagraph"/>
              <w:numPr>
                <w:ilvl w:val="0"/>
                <w:numId w:val="11"/>
              </w:numPr>
            </w:pPr>
            <w:r w:rsidRPr="005E1DF8">
              <w:t>31 Oct: national secondary closing date for 2020 entry</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shd w:val="clear" w:color="auto" w:fill="auto"/>
          </w:tcPr>
          <w:p w:rsidR="005C1FCA" w:rsidRPr="005E1DF8" w:rsidRDefault="005C1FCA" w:rsidP="005363D7">
            <w:pPr>
              <w:pStyle w:val="ListParagraph"/>
              <w:numPr>
                <w:ilvl w:val="0"/>
                <w:numId w:val="11"/>
              </w:numPr>
            </w:pPr>
            <w:r w:rsidRPr="005E1DF8">
              <w:t>4 Nov: primary application process for 2020 opens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shd w:val="clear" w:color="auto" w:fill="auto"/>
          </w:tcPr>
          <w:p w:rsidR="005C1FCA" w:rsidRPr="005E1DF8" w:rsidRDefault="005C1FCA" w:rsidP="005363D7">
            <w:pPr>
              <w:pStyle w:val="ListParagraph"/>
              <w:numPr>
                <w:ilvl w:val="0"/>
                <w:numId w:val="11"/>
              </w:numPr>
            </w:pPr>
            <w:r w:rsidRPr="005E1DF8">
              <w:t>Between 06 Dec and 07 Jan 2020: secondary governors of non-buyback own admission authority schools to apply their admissions criteria to 2020 applicants in order to rank them</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shd w:val="clear" w:color="auto" w:fill="auto"/>
          </w:tcPr>
          <w:p w:rsidR="005C1FCA" w:rsidRPr="005E1DF8" w:rsidRDefault="005C1FCA" w:rsidP="005363D7">
            <w:pPr>
              <w:pStyle w:val="ListParagraph"/>
              <w:numPr>
                <w:ilvl w:val="0"/>
                <w:numId w:val="11"/>
              </w:numPr>
            </w:pPr>
            <w:r w:rsidRPr="005E1DF8">
              <w:t>By end of autumn term: consultation for 2021 must have commenced, in order to last at least 6 weeks and have finished no later than 31 Jan 2020</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5E1DF8" w:rsidRDefault="002E41A5" w:rsidP="009A2045">
            <w:r w:rsidRPr="005E1DF8">
              <w:t>*For community and voluntary controlled schools, there are no annual duties for governors with regard to the admissions cycle.</w:t>
            </w:r>
          </w:p>
        </w:tc>
        <w:tc>
          <w:tcPr>
            <w:tcW w:w="2410" w:type="dxa"/>
          </w:tcPr>
          <w:p w:rsidR="005C1FCA" w:rsidRDefault="005C1FCA" w:rsidP="009A2045"/>
        </w:tc>
      </w:tr>
      <w:tr w:rsidR="002E41A5" w:rsidTr="0008392B">
        <w:tc>
          <w:tcPr>
            <w:tcW w:w="461" w:type="dxa"/>
            <w:vMerge/>
          </w:tcPr>
          <w:p w:rsidR="002E41A5" w:rsidRDefault="002E41A5" w:rsidP="009A2045"/>
        </w:tc>
        <w:tc>
          <w:tcPr>
            <w:tcW w:w="12150" w:type="dxa"/>
          </w:tcPr>
          <w:p w:rsidR="002E41A5" w:rsidRPr="009A2045" w:rsidRDefault="002E41A5" w:rsidP="009A2045">
            <w:pPr>
              <w:rPr>
                <w:b/>
              </w:rPr>
            </w:pPr>
          </w:p>
        </w:tc>
        <w:tc>
          <w:tcPr>
            <w:tcW w:w="2410" w:type="dxa"/>
          </w:tcPr>
          <w:p w:rsidR="002E41A5" w:rsidRDefault="002E41A5" w:rsidP="009A2045"/>
        </w:tc>
      </w:tr>
      <w:tr w:rsidR="005C1FCA" w:rsidTr="0008392B">
        <w:tc>
          <w:tcPr>
            <w:tcW w:w="461" w:type="dxa"/>
            <w:vMerge/>
          </w:tcPr>
          <w:p w:rsidR="005C1FCA" w:rsidRDefault="005C1FCA" w:rsidP="009A2045"/>
        </w:tc>
        <w:tc>
          <w:tcPr>
            <w:tcW w:w="12150" w:type="dxa"/>
          </w:tcPr>
          <w:p w:rsidR="005C1FCA" w:rsidRPr="009A2045" w:rsidRDefault="005C1FCA" w:rsidP="009A2045">
            <w:pPr>
              <w:rPr>
                <w:b/>
              </w:rPr>
            </w:pPr>
            <w:r w:rsidRPr="009A2045">
              <w:rPr>
                <w:b/>
              </w:rPr>
              <w:t>EDUCATIONAL VISITS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CD2807">
            <w:pPr>
              <w:pStyle w:val="ListParagraph"/>
              <w:numPr>
                <w:ilvl w:val="0"/>
                <w:numId w:val="25"/>
              </w:numPr>
            </w:pPr>
            <w:r w:rsidRPr="00AF79F5">
              <w:t xml:space="preserve">To consider school visits and in particular higher risk/residential visits for approval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AF79F5" w:rsidRDefault="005C1FCA" w:rsidP="009A2045"/>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9A2045" w:rsidRDefault="005C1FCA" w:rsidP="009A2045">
            <w:pPr>
              <w:rPr>
                <w:b/>
              </w:rPr>
            </w:pPr>
            <w:r>
              <w:rPr>
                <w:b/>
              </w:rPr>
              <w:t xml:space="preserve">FINANCE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9A2045">
            <w:r w:rsidRPr="00F60399">
              <w:t>£ Present and discuss latest budget monitoring and review cash flow</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9A2045">
            <w:r w:rsidRPr="00F60399">
              <w:t>£ Review school charging and remissions policy*</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9A2045">
            <w:r w:rsidRPr="00F60399">
              <w:t>£ Update and approve School Development Plan*</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9A2045">
            <w:r w:rsidRPr="00F60399">
              <w:t>£  Update Register of Pecuniary Interests*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9A2045">
            <w:r w:rsidRPr="00F60399">
              <w:t>£  Review Whistleblowing policy*</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9A2045">
            <w:r w:rsidRPr="00F60399">
              <w:t>£  Review changes to and approve/adopt Financial Regulations (Scheme for Financing Schools)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9A2045">
            <w:r w:rsidRPr="00F60399">
              <w:t>£ Approve Financial procedures*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5C1FCA" w:rsidP="00E5620D">
            <w:r w:rsidRPr="00F60399">
              <w:t xml:space="preserve">£ </w:t>
            </w:r>
            <w:r w:rsidR="00E5620D">
              <w:t>Consider Benchmarking reports *</w:t>
            </w:r>
          </w:p>
        </w:tc>
        <w:tc>
          <w:tcPr>
            <w:tcW w:w="2410" w:type="dxa"/>
          </w:tcPr>
          <w:p w:rsidR="005C1FCA" w:rsidRDefault="005C1FCA" w:rsidP="009A2045"/>
        </w:tc>
      </w:tr>
      <w:tr w:rsidR="00217C04" w:rsidTr="0008392B">
        <w:tc>
          <w:tcPr>
            <w:tcW w:w="461" w:type="dxa"/>
            <w:vMerge/>
          </w:tcPr>
          <w:p w:rsidR="00217C04" w:rsidRDefault="00217C04" w:rsidP="009A2045"/>
        </w:tc>
        <w:tc>
          <w:tcPr>
            <w:tcW w:w="12150" w:type="dxa"/>
          </w:tcPr>
          <w:p w:rsidR="00217C04" w:rsidRPr="00217C04" w:rsidRDefault="00217C04" w:rsidP="009A2045">
            <w:r w:rsidRPr="005E1DF8">
              <w:t xml:space="preserve">£ See also Staffing section for consideration of the </w:t>
            </w:r>
            <w:proofErr w:type="spellStart"/>
            <w:r w:rsidRPr="005E1DF8">
              <w:t>Headteacher’s</w:t>
            </w:r>
            <w:proofErr w:type="spellEnd"/>
            <w:r w:rsidRPr="005E1DF8">
              <w:t xml:space="preserve"> and Staff pay considerations</w:t>
            </w:r>
          </w:p>
        </w:tc>
        <w:tc>
          <w:tcPr>
            <w:tcW w:w="2410" w:type="dxa"/>
          </w:tcPr>
          <w:p w:rsidR="00217C04" w:rsidRDefault="00217C04" w:rsidP="009A2045"/>
        </w:tc>
      </w:tr>
      <w:tr w:rsidR="005C1FCA" w:rsidTr="0008392B">
        <w:tc>
          <w:tcPr>
            <w:tcW w:w="461" w:type="dxa"/>
            <w:vMerge/>
          </w:tcPr>
          <w:p w:rsidR="005C1FCA" w:rsidRDefault="005C1FCA" w:rsidP="009A2045"/>
        </w:tc>
        <w:tc>
          <w:tcPr>
            <w:tcW w:w="12150" w:type="dxa"/>
          </w:tcPr>
          <w:p w:rsidR="005C1FCA" w:rsidRPr="00B96E97" w:rsidRDefault="005C1FCA" w:rsidP="009A2045">
            <w:r w:rsidRPr="00B96E97">
              <w:t xml:space="preserve">£ Prepare to complete Schools Financial Value Standard (see below)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B96E97" w:rsidRDefault="005C1FCA" w:rsidP="009A2045">
            <w:r w:rsidRPr="00B96E97">
              <w:t xml:space="preserve">£ Review school funding consultation proposals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B96E97" w:rsidRDefault="005C1FCA" w:rsidP="009A2045">
            <w:r w:rsidRPr="00B96E97">
              <w:t>£ Submission of draft budget for next year 30 November</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F60399" w:rsidRDefault="001958A3" w:rsidP="009A2045">
            <w:r>
              <w:t>*These items may be dealt with in a different term, as best suits the school</w:t>
            </w:r>
          </w:p>
        </w:tc>
        <w:tc>
          <w:tcPr>
            <w:tcW w:w="2410" w:type="dxa"/>
          </w:tcPr>
          <w:p w:rsidR="005C1FCA" w:rsidRDefault="005C1FCA" w:rsidP="009A2045"/>
        </w:tc>
      </w:tr>
      <w:tr w:rsidR="00E5620D" w:rsidTr="0008392B">
        <w:tc>
          <w:tcPr>
            <w:tcW w:w="461" w:type="dxa"/>
            <w:vMerge/>
          </w:tcPr>
          <w:p w:rsidR="00E5620D" w:rsidRDefault="00E5620D" w:rsidP="009A2045"/>
        </w:tc>
        <w:tc>
          <w:tcPr>
            <w:tcW w:w="12150" w:type="dxa"/>
          </w:tcPr>
          <w:p w:rsidR="00E5620D" w:rsidRPr="00217C04" w:rsidRDefault="00E5620D" w:rsidP="009A2045">
            <w:pPr>
              <w:rPr>
                <w:b/>
                <w:highlight w:val="yellow"/>
              </w:rPr>
            </w:pPr>
          </w:p>
        </w:tc>
        <w:tc>
          <w:tcPr>
            <w:tcW w:w="2410" w:type="dxa"/>
          </w:tcPr>
          <w:p w:rsidR="00E5620D" w:rsidRDefault="00E5620D" w:rsidP="009A2045"/>
        </w:tc>
      </w:tr>
      <w:tr w:rsidR="005C1FCA" w:rsidTr="0008392B">
        <w:tc>
          <w:tcPr>
            <w:tcW w:w="461" w:type="dxa"/>
            <w:vMerge/>
          </w:tcPr>
          <w:p w:rsidR="005C1FCA" w:rsidRDefault="005C1FCA" w:rsidP="009A2045"/>
        </w:tc>
        <w:tc>
          <w:tcPr>
            <w:tcW w:w="12150" w:type="dxa"/>
          </w:tcPr>
          <w:p w:rsidR="005C1FCA" w:rsidRPr="009A2045" w:rsidRDefault="005C1FCA" w:rsidP="009A2045">
            <w:pPr>
              <w:rPr>
                <w:b/>
              </w:rPr>
            </w:pPr>
            <w:r w:rsidRPr="009A2045">
              <w:rPr>
                <w:b/>
              </w:rPr>
              <w:t>GDPR</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385E11">
            <w:pPr>
              <w:pStyle w:val="ListParagraph"/>
              <w:numPr>
                <w:ilvl w:val="0"/>
                <w:numId w:val="7"/>
              </w:numPr>
            </w:pPr>
            <w:r w:rsidRPr="004A1216">
              <w:t xml:space="preserve">GDPR - </w:t>
            </w:r>
            <w:r w:rsidR="00385E11">
              <w:t>Monitor</w:t>
            </w:r>
            <w:r w:rsidRPr="004A1216">
              <w:t xml:space="preserve"> complian</w:t>
            </w:r>
            <w:r w:rsidR="00385E11">
              <w:t>ce</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4A1216" w:rsidRDefault="005C1FCA" w:rsidP="009A2045"/>
        </w:tc>
        <w:tc>
          <w:tcPr>
            <w:tcW w:w="2410" w:type="dxa"/>
          </w:tcPr>
          <w:p w:rsidR="005C1FCA" w:rsidRDefault="005C1FCA" w:rsidP="009A2045"/>
        </w:tc>
      </w:tr>
      <w:tr w:rsidR="005C1FCA" w:rsidTr="0008392B">
        <w:tc>
          <w:tcPr>
            <w:tcW w:w="461" w:type="dxa"/>
            <w:vMerge/>
          </w:tcPr>
          <w:p w:rsidR="005C1FCA" w:rsidRDefault="005C1FCA" w:rsidP="00E27014"/>
        </w:tc>
        <w:tc>
          <w:tcPr>
            <w:tcW w:w="12150" w:type="dxa"/>
          </w:tcPr>
          <w:p w:rsidR="005C1FCA" w:rsidRPr="003E6A35" w:rsidRDefault="005C1FCA" w:rsidP="00E27014">
            <w:pPr>
              <w:rPr>
                <w:b/>
              </w:rPr>
            </w:pPr>
            <w:r w:rsidRPr="003E6A35">
              <w:rPr>
                <w:b/>
              </w:rPr>
              <w:t>GOVERNING BODY ARRANGEMENTS</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 xml:space="preserve">Chair and Vice Chair  - elect if appropriate in accordance with your terms of office </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Constitution / Committees - review the constitution, membership and terms of reference of any committees</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Link governors - appoint  to specific roles e.g. Safeguarding, SEND, Pupil Premium, Training (Link) governor etc. and areas of the School Development/ Improvement Plan</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Governor Clearance Checks - ensure all governors have a satisfactory DBS check and Section 128 check</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Governors 'Code of Conduct' - review,  adopt and sign on a regular basis</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Get Information About Schools' (GIAS) - Ensure all school governance information is published on the DfE database and updated regularly to reflect governing body membership (see also School Website information required)</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School Website - Ensure all school governance information is published on the school website</w:t>
            </w:r>
            <w:r>
              <w:t xml:space="preserve">, </w:t>
            </w:r>
            <w:r w:rsidRPr="006011A1">
              <w:t>DfE database and updated regularly to reflect governing body membership</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Skills Audit - review to ensure the governing body has the correct skills mix for the year ahead</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Succession Planning - consider future arrangements for the governing body going forward</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656A6">
            <w:pPr>
              <w:pStyle w:val="ListParagraph"/>
              <w:numPr>
                <w:ilvl w:val="0"/>
                <w:numId w:val="11"/>
              </w:numPr>
            </w:pPr>
            <w:r w:rsidRPr="006011A1">
              <w:t xml:space="preserve">Minutes - consider minutes of FGB meetings and all committee minutes and ratify any decisions </w:t>
            </w:r>
            <w:r w:rsidR="0054433F">
              <w:t>as</w:t>
            </w:r>
            <w:r w:rsidRPr="006011A1">
              <w:t xml:space="preserve"> necessary</w:t>
            </w:r>
            <w:r w:rsidR="0054433F">
              <w:t xml:space="preserve"> </w:t>
            </w:r>
          </w:p>
        </w:tc>
        <w:tc>
          <w:tcPr>
            <w:tcW w:w="2410" w:type="dxa"/>
          </w:tcPr>
          <w:p w:rsidR="005C1FCA" w:rsidRDefault="005C1FCA" w:rsidP="00E27014"/>
        </w:tc>
      </w:tr>
      <w:tr w:rsidR="005C1FCA" w:rsidTr="0008392B">
        <w:tc>
          <w:tcPr>
            <w:tcW w:w="461" w:type="dxa"/>
            <w:vMerge/>
          </w:tcPr>
          <w:p w:rsidR="005C1FCA" w:rsidRDefault="005C1FCA" w:rsidP="00E27014"/>
        </w:tc>
        <w:tc>
          <w:tcPr>
            <w:tcW w:w="12150" w:type="dxa"/>
          </w:tcPr>
          <w:p w:rsidR="005C1FCA" w:rsidRPr="006011A1" w:rsidRDefault="005C1FCA" w:rsidP="003E6A35">
            <w:pPr>
              <w:pStyle w:val="ListParagraph"/>
            </w:pPr>
          </w:p>
        </w:tc>
        <w:tc>
          <w:tcPr>
            <w:tcW w:w="2410" w:type="dxa"/>
          </w:tcPr>
          <w:p w:rsidR="005C1FCA" w:rsidRDefault="005C1FCA" w:rsidP="00E27014"/>
        </w:tc>
      </w:tr>
      <w:tr w:rsidR="005C1FCA" w:rsidTr="0008392B">
        <w:tc>
          <w:tcPr>
            <w:tcW w:w="461" w:type="dxa"/>
            <w:vMerge/>
          </w:tcPr>
          <w:p w:rsidR="005C1FCA" w:rsidRDefault="005C1FCA" w:rsidP="003E6A35"/>
        </w:tc>
        <w:tc>
          <w:tcPr>
            <w:tcW w:w="12150" w:type="dxa"/>
          </w:tcPr>
          <w:p w:rsidR="005C1FCA" w:rsidRPr="003E6A35" w:rsidRDefault="005C1FCA" w:rsidP="003E6A35">
            <w:pPr>
              <w:rPr>
                <w:b/>
              </w:rPr>
            </w:pPr>
            <w:r w:rsidRPr="003E6A35">
              <w:rPr>
                <w:b/>
              </w:rPr>
              <w:t>GOVERNOR TRAINING</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5863DF" w:rsidRDefault="005C1FCA" w:rsidP="003656A6">
            <w:pPr>
              <w:pStyle w:val="ListParagraph"/>
              <w:numPr>
                <w:ilvl w:val="0"/>
                <w:numId w:val="11"/>
              </w:numPr>
            </w:pPr>
            <w:r w:rsidRPr="005863DF">
              <w:t xml:space="preserve">Training needs - to identify and address appropriate professional development </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5863DF" w:rsidRDefault="005C1FCA" w:rsidP="003656A6">
            <w:pPr>
              <w:pStyle w:val="ListParagraph"/>
              <w:numPr>
                <w:ilvl w:val="0"/>
                <w:numId w:val="11"/>
              </w:numPr>
            </w:pPr>
            <w:r w:rsidRPr="005863DF">
              <w:t xml:space="preserve">Feedback - to receive feedback from governors who have been on courses and to consider how current practice can be improved </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Default="005C1FCA" w:rsidP="003656A6">
            <w:pPr>
              <w:pStyle w:val="ListParagraph"/>
              <w:numPr>
                <w:ilvl w:val="0"/>
                <w:numId w:val="11"/>
              </w:numPr>
            </w:pPr>
            <w:r w:rsidRPr="005863DF">
              <w:t>Impact - consider what impact training has had on improving the effectiveness of the governing body</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5863DF" w:rsidRDefault="005C1FCA" w:rsidP="003E6A35"/>
        </w:tc>
        <w:tc>
          <w:tcPr>
            <w:tcW w:w="2410" w:type="dxa"/>
          </w:tcPr>
          <w:p w:rsidR="005C1FCA" w:rsidRDefault="005C1FCA" w:rsidP="003E6A35"/>
        </w:tc>
      </w:tr>
      <w:tr w:rsidR="005C1FCA" w:rsidTr="0008392B">
        <w:tc>
          <w:tcPr>
            <w:tcW w:w="461" w:type="dxa"/>
            <w:vMerge/>
          </w:tcPr>
          <w:p w:rsidR="005C1FCA" w:rsidRDefault="005C1FCA" w:rsidP="009A2045"/>
        </w:tc>
        <w:tc>
          <w:tcPr>
            <w:tcW w:w="12150" w:type="dxa"/>
          </w:tcPr>
          <w:p w:rsidR="005C1FCA" w:rsidRPr="009A2045" w:rsidRDefault="005C1FCA" w:rsidP="009A2045">
            <w:pPr>
              <w:rPr>
                <w:b/>
              </w:rPr>
            </w:pPr>
            <w:r w:rsidRPr="009A2045">
              <w:rPr>
                <w:b/>
              </w:rPr>
              <w:t>INTERESTS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106D40" w:rsidRDefault="005C1FCA" w:rsidP="003656A6">
            <w:pPr>
              <w:pStyle w:val="ListParagraph"/>
              <w:numPr>
                <w:ilvl w:val="0"/>
                <w:numId w:val="11"/>
              </w:numPr>
            </w:pPr>
            <w:r w:rsidRPr="00106D40">
              <w:t>Interests - Declaration of any interests in relation to any matters to be considered during a meeting</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3656A6">
            <w:pPr>
              <w:pStyle w:val="ListParagraph"/>
              <w:numPr>
                <w:ilvl w:val="0"/>
                <w:numId w:val="11"/>
              </w:numPr>
            </w:pPr>
            <w:r w:rsidRPr="00106D40">
              <w:t xml:space="preserve">Register of Interests - Governors to complete Register of Interest forms and publish governance information online (see </w:t>
            </w:r>
            <w:r w:rsidR="0078387C">
              <w:t xml:space="preserve">also </w:t>
            </w:r>
            <w:r w:rsidRPr="00106D40">
              <w:t>School website section</w:t>
            </w:r>
            <w:r w:rsidR="00E45704">
              <w:t xml:space="preserve"> below</w:t>
            </w:r>
            <w:r w:rsidRPr="00106D40">
              <w:t>)</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106D40" w:rsidRDefault="005C1FCA" w:rsidP="009A2045"/>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9A2045" w:rsidRDefault="005C1FCA" w:rsidP="009A2045">
            <w:pPr>
              <w:rPr>
                <w:b/>
              </w:rPr>
            </w:pPr>
            <w:r w:rsidRPr="009A2045">
              <w:rPr>
                <w:b/>
              </w:rPr>
              <w:t>POLICIES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78387C" w:rsidRPr="00D61B0A" w:rsidRDefault="005C1FCA" w:rsidP="006272E4">
            <w:pPr>
              <w:pStyle w:val="ListParagraph"/>
              <w:numPr>
                <w:ilvl w:val="0"/>
                <w:numId w:val="26"/>
              </w:numPr>
            </w:pPr>
            <w:r w:rsidRPr="00D61B0A">
              <w:t>Policies - agree a schedule for updating policies</w:t>
            </w:r>
            <w:r w:rsidR="00E45704">
              <w:t>. P</w:t>
            </w:r>
            <w:r w:rsidRPr="00D61B0A">
              <w:t xml:space="preserve">lease refer to DfE guidance on Statutory policies for schools and academy trusts </w:t>
            </w:r>
            <w:hyperlink r:id="rId8" w:history="1">
              <w:r w:rsidR="0078387C" w:rsidRPr="0098655A">
                <w:rPr>
                  <w:rStyle w:val="Hyperlink"/>
                </w:rPr>
                <w:t>https://www.gov.uk/government/publications/statutory-policies-for-schools-and-academy-trusts/statutory-policies-for-schools-and-academy-trusts</w:t>
              </w:r>
            </w:hyperlink>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3656A6">
            <w:pPr>
              <w:pStyle w:val="ListParagraph"/>
              <w:numPr>
                <w:ilvl w:val="0"/>
                <w:numId w:val="11"/>
              </w:numPr>
            </w:pPr>
            <w:r w:rsidRPr="00D61B0A">
              <w:t>Policies - consider draft policies for approv</w:t>
            </w:r>
            <w:r w:rsidR="00E45704">
              <w:t>al</w:t>
            </w:r>
            <w:r w:rsidRPr="00D61B0A">
              <w:t xml:space="preserve"> and evaluate the impact of those in place</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D61B0A" w:rsidRDefault="0078387C" w:rsidP="003656A6">
            <w:pPr>
              <w:pStyle w:val="ListParagraph"/>
              <w:numPr>
                <w:ilvl w:val="0"/>
                <w:numId w:val="11"/>
              </w:numPr>
            </w:pPr>
            <w:r>
              <w:t>R</w:t>
            </w:r>
            <w:r w:rsidR="00E45704">
              <w:t>eview</w:t>
            </w:r>
            <w:r>
              <w:t xml:space="preserve"> any policies for approval e.g. Appraisal and Pay</w:t>
            </w:r>
            <w:r w:rsidR="0008392B">
              <w:t xml:space="preserve">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9A2045" w:rsidRDefault="005C1FCA" w:rsidP="009A2045">
            <w:pPr>
              <w:rPr>
                <w:b/>
              </w:rPr>
            </w:pPr>
            <w:r w:rsidRPr="009A2045">
              <w:rPr>
                <w:b/>
              </w:rPr>
              <w:t>PUPILS</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BC20B3" w:rsidRDefault="005C1FCA" w:rsidP="003656A6">
            <w:pPr>
              <w:pStyle w:val="ListParagraph"/>
              <w:numPr>
                <w:ilvl w:val="0"/>
                <w:numId w:val="11"/>
              </w:numPr>
            </w:pPr>
            <w:r w:rsidRPr="00BC20B3">
              <w:t>Public examination and national test results (</w:t>
            </w:r>
            <w:r w:rsidR="0012219A">
              <w:t xml:space="preserve">Early Years Foundation Stage (EYFS), phonics, </w:t>
            </w:r>
            <w:r w:rsidRPr="00BC20B3">
              <w:t xml:space="preserve">SATs results of KS1,KS2 (infant/primary schools) and GCSE and A level results (secondary schools) - </w:t>
            </w:r>
            <w:r w:rsidR="00545504">
              <w:t>Analyse</w:t>
            </w:r>
            <w:r w:rsidRPr="00BC20B3">
              <w:t xml:space="preserve"> results including Analyse School Performance Data, Ofsted’s Inspection Data Summary Report (IDSR), </w:t>
            </w:r>
            <w:r w:rsidR="0012219A">
              <w:t>school</w:t>
            </w:r>
            <w:r w:rsidR="000B16FC">
              <w:t>’</w:t>
            </w:r>
            <w:r w:rsidR="0012219A">
              <w:t xml:space="preserve">s internal tracking data </w:t>
            </w:r>
            <w:r w:rsidRPr="00BC20B3">
              <w:t>and other sources of external data such as Fisher Family trust data (if the school subscribes)</w:t>
            </w:r>
            <w:r w:rsidR="0012219A">
              <w:t xml:space="preserve">, </w:t>
            </w:r>
            <w:r w:rsidR="0012219A" w:rsidRPr="00BC20B3">
              <w:t xml:space="preserve"> local authority data</w:t>
            </w:r>
            <w:r w:rsidR="0012219A">
              <w:t xml:space="preserve"> </w:t>
            </w:r>
            <w:r w:rsidR="000328DC">
              <w:t>etc.</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BC20B3" w:rsidRDefault="005C1FCA" w:rsidP="003656A6">
            <w:pPr>
              <w:pStyle w:val="ListParagraph"/>
              <w:numPr>
                <w:ilvl w:val="0"/>
                <w:numId w:val="11"/>
              </w:numPr>
            </w:pPr>
            <w:r w:rsidRPr="00BC20B3">
              <w:t xml:space="preserve">Pupil Performance targets - challenge and approve </w:t>
            </w:r>
            <w:r w:rsidR="000328DC">
              <w:t>(non –statutory)</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BC20B3" w:rsidRDefault="005C1FCA" w:rsidP="003656A6">
            <w:pPr>
              <w:pStyle w:val="ListParagraph"/>
              <w:numPr>
                <w:ilvl w:val="0"/>
                <w:numId w:val="11"/>
              </w:numPr>
            </w:pPr>
            <w:r w:rsidRPr="00BC20B3">
              <w:t xml:space="preserve">Impact of Funding - review and ensure that the school has published information online about their strategy for use of the funding and the impact it has had  in relation to </w:t>
            </w:r>
            <w:r w:rsidRPr="003656A6">
              <w:t>–</w:t>
            </w:r>
            <w:r w:rsidRPr="00BC20B3">
              <w:t xml:space="preserve">Pupil Premium, PE and Sport premium (primary schools), </w:t>
            </w:r>
            <w:r w:rsidRPr="003656A6">
              <w:t>–</w:t>
            </w:r>
            <w:r w:rsidRPr="00BC20B3">
              <w:t xml:space="preserve">Year 7 Catch up premium (secondary schools)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3656A6">
            <w:pPr>
              <w:pStyle w:val="ListParagraph"/>
              <w:numPr>
                <w:ilvl w:val="0"/>
                <w:numId w:val="11"/>
              </w:numPr>
            </w:pPr>
            <w:r w:rsidRPr="00BC20B3">
              <w:t>Equality information - ensure information and objectives where necessary are reviewed, and the s</w:t>
            </w:r>
            <w:r w:rsidR="00617AFF">
              <w:t xml:space="preserve">chool website updated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BC20B3" w:rsidRDefault="005C1FCA" w:rsidP="009A2045"/>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0B16FC" w:rsidRDefault="000B16FC" w:rsidP="000B16FC">
            <w:pPr>
              <w:rPr>
                <w:b/>
              </w:rPr>
            </w:pPr>
            <w:r>
              <w:rPr>
                <w:b/>
              </w:rPr>
              <w:t xml:space="preserve">SAFEGUARDING </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3656A6">
            <w:pPr>
              <w:pStyle w:val="ListParagraph"/>
              <w:numPr>
                <w:ilvl w:val="0"/>
                <w:numId w:val="11"/>
              </w:numPr>
            </w:pPr>
            <w:r w:rsidRPr="007C351A">
              <w:t xml:space="preserve">'Keeping Children Safe in Education' - ensure the school is compliant with the latest version and that all governors have read the document and all staff have at least read Part </w:t>
            </w:r>
            <w:proofErr w:type="gramStart"/>
            <w:r w:rsidRPr="007C351A">
              <w:t>one</w:t>
            </w:r>
            <w:proofErr w:type="gramEnd"/>
            <w:r w:rsidRPr="007C351A">
              <w:t>.</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7C351A" w:rsidRDefault="00617AFF" w:rsidP="003656A6">
            <w:pPr>
              <w:pStyle w:val="ListParagraph"/>
              <w:numPr>
                <w:ilvl w:val="0"/>
                <w:numId w:val="11"/>
              </w:numPr>
            </w:pPr>
            <w:r>
              <w:t>To confirm the school has registered with Surrey County Council’s Section 157/175 online audit of safeguarding arrangements being launched in the Autumn term 2019</w:t>
            </w:r>
          </w:p>
        </w:tc>
        <w:tc>
          <w:tcPr>
            <w:tcW w:w="2410" w:type="dxa"/>
          </w:tcPr>
          <w:p w:rsidR="005C1FCA" w:rsidRDefault="005C1FCA" w:rsidP="009A2045"/>
        </w:tc>
      </w:tr>
      <w:tr w:rsidR="00CD2807" w:rsidTr="0008392B">
        <w:tc>
          <w:tcPr>
            <w:tcW w:w="461" w:type="dxa"/>
            <w:vMerge/>
          </w:tcPr>
          <w:p w:rsidR="00CD2807" w:rsidRDefault="00CD2807" w:rsidP="009A2045"/>
        </w:tc>
        <w:tc>
          <w:tcPr>
            <w:tcW w:w="12150" w:type="dxa"/>
          </w:tcPr>
          <w:p w:rsidR="00CD2807" w:rsidRPr="007C351A" w:rsidRDefault="00617AFF" w:rsidP="003656A6">
            <w:pPr>
              <w:pStyle w:val="ListParagraph"/>
              <w:numPr>
                <w:ilvl w:val="0"/>
                <w:numId w:val="11"/>
              </w:numPr>
            </w:pPr>
            <w:r w:rsidRPr="007C351A">
              <w:t>Safeguarding update - consider a  report and any particular issues or policies arising from it</w:t>
            </w:r>
          </w:p>
        </w:tc>
        <w:tc>
          <w:tcPr>
            <w:tcW w:w="2410" w:type="dxa"/>
          </w:tcPr>
          <w:p w:rsidR="00CD2807" w:rsidRDefault="00CD2807" w:rsidP="009A2045"/>
        </w:tc>
      </w:tr>
      <w:tr w:rsidR="00617AFF" w:rsidTr="0008392B">
        <w:tc>
          <w:tcPr>
            <w:tcW w:w="461" w:type="dxa"/>
            <w:vMerge/>
          </w:tcPr>
          <w:p w:rsidR="00617AFF" w:rsidRDefault="00617AFF" w:rsidP="009A2045"/>
        </w:tc>
        <w:tc>
          <w:tcPr>
            <w:tcW w:w="12150" w:type="dxa"/>
          </w:tcPr>
          <w:p w:rsidR="00617AFF" w:rsidRPr="007C351A" w:rsidRDefault="00617AFF" w:rsidP="003656A6">
            <w:pPr>
              <w:pStyle w:val="ListParagraph"/>
              <w:numPr>
                <w:ilvl w:val="0"/>
                <w:numId w:val="11"/>
              </w:numPr>
            </w:pPr>
            <w:r>
              <w:t>Ensure arrangements are in place for the school to complete and submit their autumn term safeguarding data via the new online tool</w:t>
            </w:r>
          </w:p>
        </w:tc>
        <w:tc>
          <w:tcPr>
            <w:tcW w:w="2410" w:type="dxa"/>
          </w:tcPr>
          <w:p w:rsidR="00617AFF" w:rsidRDefault="00617AFF" w:rsidP="009A2045"/>
        </w:tc>
      </w:tr>
      <w:tr w:rsidR="00617AFF" w:rsidTr="0008392B">
        <w:tc>
          <w:tcPr>
            <w:tcW w:w="461" w:type="dxa"/>
            <w:vMerge/>
          </w:tcPr>
          <w:p w:rsidR="00617AFF" w:rsidRDefault="00617AFF" w:rsidP="009A2045"/>
        </w:tc>
        <w:tc>
          <w:tcPr>
            <w:tcW w:w="12150" w:type="dxa"/>
          </w:tcPr>
          <w:p w:rsidR="00617AFF" w:rsidRPr="007C351A" w:rsidRDefault="00617AFF" w:rsidP="009A2045"/>
        </w:tc>
        <w:tc>
          <w:tcPr>
            <w:tcW w:w="2410" w:type="dxa"/>
          </w:tcPr>
          <w:p w:rsidR="00617AFF" w:rsidRDefault="00617AFF" w:rsidP="009A2045"/>
        </w:tc>
      </w:tr>
      <w:tr w:rsidR="005C1FCA" w:rsidTr="0008392B">
        <w:tc>
          <w:tcPr>
            <w:tcW w:w="461" w:type="dxa"/>
            <w:vMerge/>
          </w:tcPr>
          <w:p w:rsidR="005C1FCA" w:rsidRDefault="005C1FCA" w:rsidP="009A2045"/>
        </w:tc>
        <w:tc>
          <w:tcPr>
            <w:tcW w:w="12150" w:type="dxa"/>
          </w:tcPr>
          <w:p w:rsidR="005C1FCA" w:rsidRPr="009A2045" w:rsidRDefault="005C1FCA" w:rsidP="009A2045">
            <w:pPr>
              <w:rPr>
                <w:b/>
              </w:rPr>
            </w:pPr>
            <w:r w:rsidRPr="009A2045">
              <w:rPr>
                <w:b/>
              </w:rPr>
              <w:t>SCHOOL WEBSITE</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08392B">
            <w:pPr>
              <w:pStyle w:val="ListParagraph"/>
              <w:numPr>
                <w:ilvl w:val="0"/>
                <w:numId w:val="38"/>
              </w:numPr>
            </w:pPr>
            <w:r w:rsidRPr="00C46D29">
              <w:t>Publish - the structure and responsibilities of the governing body and its committee</w:t>
            </w:r>
            <w:r w:rsidR="00457E46">
              <w:t>s</w:t>
            </w:r>
            <w:r w:rsidRPr="00C46D29">
              <w:t xml:space="preserve">, list of individual governing body members and associate members, terms of office, who appointed them, responsibilities, attendance, governance roles in other educational establishments and other interests on the school website (including those who have left in the past twelve months) see </w:t>
            </w:r>
            <w:hyperlink r:id="rId9" w:anchor="governors-information-and-duties" w:history="1">
              <w:r w:rsidRPr="00D9194B">
                <w:rPr>
                  <w:rStyle w:val="Hyperlink"/>
                </w:rPr>
                <w:t>DfE guidance</w:t>
              </w:r>
            </w:hyperlink>
            <w:r w:rsidR="00D9194B">
              <w:t xml:space="preserve"> </w:t>
            </w:r>
            <w:hyperlink r:id="rId10" w:anchor="governors-information-and-duties" w:history="1">
              <w:r w:rsidR="00D9194B" w:rsidRPr="00913935">
                <w:rPr>
                  <w:rStyle w:val="Hyperlink"/>
                </w:rPr>
                <w:t>https://www.gov.uk/guidance/what-maintained-schools-must-publish-online#governors-information-and-duties</w:t>
              </w:r>
            </w:hyperlink>
          </w:p>
          <w:p w:rsidR="00D9194B" w:rsidRPr="00C46D29" w:rsidRDefault="00D9194B" w:rsidP="00217C04">
            <w:pPr>
              <w:pStyle w:val="ListParagraph"/>
            </w:pP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Default="005C1FCA" w:rsidP="0008392B">
            <w:pPr>
              <w:pStyle w:val="ListParagraph"/>
              <w:numPr>
                <w:ilvl w:val="0"/>
                <w:numId w:val="38"/>
              </w:numPr>
            </w:pPr>
            <w:r w:rsidRPr="00C46D29">
              <w:t>Statutory Required Information - ensure all information is published on the school website (see DfE guidance) https://www.gov.uk/guidance/what-maintained-schools-must-publish-online</w:t>
            </w:r>
          </w:p>
        </w:tc>
        <w:tc>
          <w:tcPr>
            <w:tcW w:w="2410" w:type="dxa"/>
          </w:tcPr>
          <w:p w:rsidR="005C1FCA" w:rsidRDefault="005C1FCA" w:rsidP="009A2045"/>
        </w:tc>
      </w:tr>
      <w:tr w:rsidR="005C1FCA" w:rsidTr="0008392B">
        <w:tc>
          <w:tcPr>
            <w:tcW w:w="461" w:type="dxa"/>
            <w:vMerge/>
          </w:tcPr>
          <w:p w:rsidR="005C1FCA" w:rsidRDefault="005C1FCA" w:rsidP="009A2045"/>
        </w:tc>
        <w:tc>
          <w:tcPr>
            <w:tcW w:w="12150" w:type="dxa"/>
          </w:tcPr>
          <w:p w:rsidR="005C1FCA" w:rsidRPr="00C46D29" w:rsidRDefault="005C1FCA" w:rsidP="009A2045"/>
        </w:tc>
        <w:tc>
          <w:tcPr>
            <w:tcW w:w="2410" w:type="dxa"/>
          </w:tcPr>
          <w:p w:rsidR="005C1FCA" w:rsidRDefault="005C1FCA" w:rsidP="009A2045"/>
        </w:tc>
      </w:tr>
      <w:tr w:rsidR="005C1FCA" w:rsidTr="0008392B">
        <w:tc>
          <w:tcPr>
            <w:tcW w:w="461" w:type="dxa"/>
            <w:vMerge/>
          </w:tcPr>
          <w:p w:rsidR="005C1FCA" w:rsidRDefault="005C1FCA" w:rsidP="00101318"/>
        </w:tc>
        <w:tc>
          <w:tcPr>
            <w:tcW w:w="12150" w:type="dxa"/>
          </w:tcPr>
          <w:p w:rsidR="005C1FCA" w:rsidRPr="00101318" w:rsidRDefault="005C1FCA" w:rsidP="00101318">
            <w:pPr>
              <w:rPr>
                <w:b/>
              </w:rPr>
            </w:pPr>
            <w:r w:rsidRPr="00101318">
              <w:rPr>
                <w:b/>
              </w:rPr>
              <w:t>STAFFING</w:t>
            </w:r>
          </w:p>
        </w:tc>
        <w:tc>
          <w:tcPr>
            <w:tcW w:w="2410" w:type="dxa"/>
          </w:tcPr>
          <w:p w:rsidR="005C1FCA" w:rsidRDefault="005C1FCA" w:rsidP="00101318"/>
        </w:tc>
      </w:tr>
      <w:tr w:rsidR="00E66546" w:rsidTr="0008392B">
        <w:tc>
          <w:tcPr>
            <w:tcW w:w="461" w:type="dxa"/>
            <w:vMerge/>
          </w:tcPr>
          <w:p w:rsidR="00E66546" w:rsidRDefault="00E66546" w:rsidP="00101318"/>
        </w:tc>
        <w:tc>
          <w:tcPr>
            <w:tcW w:w="12150" w:type="dxa"/>
          </w:tcPr>
          <w:p w:rsidR="00E66546" w:rsidRPr="00A12FC3" w:rsidRDefault="00E66546" w:rsidP="003656A6">
            <w:pPr>
              <w:pStyle w:val="ListParagraph"/>
              <w:numPr>
                <w:ilvl w:val="0"/>
                <w:numId w:val="11"/>
              </w:numPr>
            </w:pPr>
            <w:r>
              <w:t>Review A</w:t>
            </w:r>
            <w:r w:rsidR="00217C04">
              <w:t xml:space="preserve">ppraisal, </w:t>
            </w:r>
            <w:r>
              <w:t xml:space="preserve"> P</w:t>
            </w:r>
            <w:r w:rsidR="00217C04">
              <w:t>ay, CPD and any other policies as required</w:t>
            </w:r>
          </w:p>
        </w:tc>
        <w:tc>
          <w:tcPr>
            <w:tcW w:w="2410" w:type="dxa"/>
          </w:tcPr>
          <w:p w:rsidR="00E66546" w:rsidRDefault="00E66546" w:rsidP="00101318"/>
        </w:tc>
      </w:tr>
      <w:tr w:rsidR="005C1FCA" w:rsidTr="0008392B">
        <w:tc>
          <w:tcPr>
            <w:tcW w:w="461" w:type="dxa"/>
            <w:vMerge/>
          </w:tcPr>
          <w:p w:rsidR="005C1FCA" w:rsidRDefault="005C1FCA" w:rsidP="00101318"/>
        </w:tc>
        <w:tc>
          <w:tcPr>
            <w:tcW w:w="12150" w:type="dxa"/>
          </w:tcPr>
          <w:p w:rsidR="005C1FCA" w:rsidRPr="00A12FC3" w:rsidRDefault="005C1FCA" w:rsidP="003656A6">
            <w:pPr>
              <w:pStyle w:val="ListParagraph"/>
              <w:numPr>
                <w:ilvl w:val="0"/>
                <w:numId w:val="11"/>
              </w:numPr>
            </w:pPr>
            <w:r w:rsidRPr="00A12FC3">
              <w:t xml:space="preserve">Appraisal of Headteacher - Appoint 2-3 governors and an External Adviser to carry out the annual appraisal. Review and determine the </w:t>
            </w:r>
            <w:proofErr w:type="spellStart"/>
            <w:r w:rsidRPr="00A12FC3">
              <w:t>Headteacher</w:t>
            </w:r>
            <w:r w:rsidR="0016132C">
              <w:t>’</w:t>
            </w:r>
            <w:r w:rsidRPr="00A12FC3">
              <w:t>s</w:t>
            </w:r>
            <w:proofErr w:type="spellEnd"/>
            <w:r w:rsidRPr="00A12FC3">
              <w:t xml:space="preserve"> salary in accordance with the school appraisal/pay policy.</w:t>
            </w:r>
          </w:p>
        </w:tc>
        <w:tc>
          <w:tcPr>
            <w:tcW w:w="2410" w:type="dxa"/>
          </w:tcPr>
          <w:p w:rsidR="005C1FCA" w:rsidRDefault="005C1FCA" w:rsidP="00101318"/>
        </w:tc>
      </w:tr>
      <w:tr w:rsidR="005C1FCA" w:rsidTr="0008392B">
        <w:tc>
          <w:tcPr>
            <w:tcW w:w="461" w:type="dxa"/>
            <w:vMerge/>
          </w:tcPr>
          <w:p w:rsidR="005C1FCA" w:rsidRDefault="005C1FCA" w:rsidP="00101318"/>
        </w:tc>
        <w:tc>
          <w:tcPr>
            <w:tcW w:w="12150" w:type="dxa"/>
          </w:tcPr>
          <w:p w:rsidR="005C1FCA" w:rsidRPr="00A12FC3" w:rsidRDefault="005C1FCA" w:rsidP="003656A6">
            <w:pPr>
              <w:pStyle w:val="ListParagraph"/>
              <w:numPr>
                <w:ilvl w:val="0"/>
                <w:numId w:val="11"/>
              </w:numPr>
            </w:pPr>
            <w:r w:rsidRPr="00A12FC3">
              <w:t>Appraisals of teaching staff - receive an anonymised report and ensure that the pay committee has made/confirmed pay decisions on all teachers.</w:t>
            </w:r>
          </w:p>
        </w:tc>
        <w:tc>
          <w:tcPr>
            <w:tcW w:w="2410" w:type="dxa"/>
          </w:tcPr>
          <w:p w:rsidR="005C1FCA" w:rsidRDefault="005C1FCA" w:rsidP="00101318"/>
        </w:tc>
      </w:tr>
      <w:tr w:rsidR="005C1FCA" w:rsidTr="0008392B">
        <w:tc>
          <w:tcPr>
            <w:tcW w:w="461" w:type="dxa"/>
            <w:vMerge/>
          </w:tcPr>
          <w:p w:rsidR="005C1FCA" w:rsidRDefault="005C1FCA" w:rsidP="00101318"/>
        </w:tc>
        <w:tc>
          <w:tcPr>
            <w:tcW w:w="12150" w:type="dxa"/>
          </w:tcPr>
          <w:p w:rsidR="005C1FCA" w:rsidRPr="00A12FC3" w:rsidRDefault="005C1FCA" w:rsidP="003656A6">
            <w:pPr>
              <w:pStyle w:val="ListParagraph"/>
              <w:numPr>
                <w:ilvl w:val="0"/>
                <w:numId w:val="11"/>
              </w:numPr>
            </w:pPr>
            <w:r w:rsidRPr="00A12FC3">
              <w:t>Appraisal of support staff - to consider arrangements (</w:t>
            </w:r>
            <w:proofErr w:type="spellStart"/>
            <w:r w:rsidRPr="00A12FC3">
              <w:t>non statutory</w:t>
            </w:r>
            <w:proofErr w:type="spellEnd"/>
            <w:r w:rsidRPr="00A12FC3">
              <w:t>)</w:t>
            </w:r>
          </w:p>
        </w:tc>
        <w:tc>
          <w:tcPr>
            <w:tcW w:w="2410" w:type="dxa"/>
          </w:tcPr>
          <w:p w:rsidR="005C1FCA" w:rsidRDefault="005C1FCA" w:rsidP="00101318"/>
        </w:tc>
      </w:tr>
      <w:tr w:rsidR="005C1FCA" w:rsidTr="0008392B">
        <w:tc>
          <w:tcPr>
            <w:tcW w:w="461" w:type="dxa"/>
            <w:vMerge/>
          </w:tcPr>
          <w:p w:rsidR="005C1FCA" w:rsidRDefault="005C1FCA" w:rsidP="00101318"/>
        </w:tc>
        <w:tc>
          <w:tcPr>
            <w:tcW w:w="12150" w:type="dxa"/>
          </w:tcPr>
          <w:p w:rsidR="005C1FCA" w:rsidRPr="00A12FC3" w:rsidRDefault="005C1FCA" w:rsidP="003656A6">
            <w:pPr>
              <w:pStyle w:val="ListParagraph"/>
              <w:numPr>
                <w:ilvl w:val="0"/>
                <w:numId w:val="11"/>
              </w:numPr>
            </w:pPr>
            <w:r w:rsidRPr="00A12FC3">
              <w:t>Succession Planning arrangements - consider for school staff going forward</w:t>
            </w:r>
          </w:p>
        </w:tc>
        <w:tc>
          <w:tcPr>
            <w:tcW w:w="2410" w:type="dxa"/>
          </w:tcPr>
          <w:p w:rsidR="005C1FCA" w:rsidRDefault="005C1FCA" w:rsidP="00101318"/>
        </w:tc>
      </w:tr>
      <w:tr w:rsidR="005C1FCA" w:rsidTr="0008392B">
        <w:trPr>
          <w:trHeight w:val="650"/>
        </w:trPr>
        <w:tc>
          <w:tcPr>
            <w:tcW w:w="461" w:type="dxa"/>
            <w:vMerge/>
          </w:tcPr>
          <w:p w:rsidR="005C1FCA" w:rsidRDefault="005C1FCA" w:rsidP="00101318"/>
        </w:tc>
        <w:tc>
          <w:tcPr>
            <w:tcW w:w="12150" w:type="dxa"/>
            <w:shd w:val="clear" w:color="auto" w:fill="auto"/>
          </w:tcPr>
          <w:p w:rsidR="005C1FCA" w:rsidRDefault="005C1FCA" w:rsidP="003656A6">
            <w:pPr>
              <w:pStyle w:val="ListParagraph"/>
              <w:numPr>
                <w:ilvl w:val="0"/>
                <w:numId w:val="11"/>
              </w:numPr>
            </w:pPr>
            <w:r w:rsidRPr="005208BC">
              <w:t xml:space="preserve">Ensure Equality information (and objectives where necessary) are reviewed, and the school website updated </w:t>
            </w:r>
            <w:r w:rsidR="00ED44BD" w:rsidRPr="005208BC">
              <w:t>for schools with 150 employees</w:t>
            </w:r>
          </w:p>
        </w:tc>
        <w:tc>
          <w:tcPr>
            <w:tcW w:w="2410" w:type="dxa"/>
          </w:tcPr>
          <w:p w:rsidR="005C1FCA" w:rsidRDefault="005C1FCA" w:rsidP="00101318"/>
        </w:tc>
      </w:tr>
      <w:tr w:rsidR="005C1FCA" w:rsidTr="0008392B">
        <w:tc>
          <w:tcPr>
            <w:tcW w:w="461" w:type="dxa"/>
            <w:vMerge/>
          </w:tcPr>
          <w:p w:rsidR="005C1FCA" w:rsidRDefault="005C1FCA" w:rsidP="00101318"/>
        </w:tc>
        <w:tc>
          <w:tcPr>
            <w:tcW w:w="12150" w:type="dxa"/>
          </w:tcPr>
          <w:p w:rsidR="005C1FCA" w:rsidRPr="00A12FC3" w:rsidRDefault="005C1FCA" w:rsidP="006272E4"/>
        </w:tc>
        <w:tc>
          <w:tcPr>
            <w:tcW w:w="2410" w:type="dxa"/>
          </w:tcPr>
          <w:p w:rsidR="005C1FCA" w:rsidRDefault="005C1FCA" w:rsidP="00101318"/>
        </w:tc>
      </w:tr>
      <w:tr w:rsidR="005C1FCA" w:rsidTr="0008392B">
        <w:tc>
          <w:tcPr>
            <w:tcW w:w="461" w:type="dxa"/>
            <w:vMerge/>
          </w:tcPr>
          <w:p w:rsidR="005C1FCA" w:rsidRDefault="005C1FCA" w:rsidP="003E6A35"/>
        </w:tc>
        <w:tc>
          <w:tcPr>
            <w:tcW w:w="12150" w:type="dxa"/>
          </w:tcPr>
          <w:p w:rsidR="005C1FCA" w:rsidRPr="003656A6" w:rsidRDefault="005C1FCA" w:rsidP="006272E4">
            <w:r w:rsidRPr="006272E4">
              <w:rPr>
                <w:b/>
              </w:rPr>
              <w:t>STRATEGIC WORKING/ MONITORING AND EVALUATION</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2C4319" w:rsidRDefault="005C1FCA" w:rsidP="003656A6">
            <w:pPr>
              <w:pStyle w:val="ListParagraph"/>
              <w:numPr>
                <w:ilvl w:val="0"/>
                <w:numId w:val="11"/>
              </w:numPr>
            </w:pPr>
            <w:r w:rsidRPr="002C4319">
              <w:t xml:space="preserve">School's vision, values, objectives and strategic direction - review and agree  </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2C4319" w:rsidRDefault="005C1FCA" w:rsidP="003656A6">
            <w:pPr>
              <w:pStyle w:val="ListParagraph"/>
              <w:numPr>
                <w:ilvl w:val="0"/>
                <w:numId w:val="11"/>
              </w:numPr>
            </w:pPr>
            <w:r w:rsidRPr="002C4319">
              <w:t xml:space="preserve">School Self Evaluation - consider and approve </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2C4319" w:rsidRDefault="005C1FCA" w:rsidP="003656A6">
            <w:pPr>
              <w:pStyle w:val="ListParagraph"/>
              <w:numPr>
                <w:ilvl w:val="0"/>
                <w:numId w:val="11"/>
              </w:numPr>
            </w:pPr>
            <w:r w:rsidRPr="002C4319">
              <w:t>School Development/Improvement Plan (SDP/SIP) - approve and allocate aspects to committees /link governors to monitor</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2C4319" w:rsidRDefault="005C1FCA" w:rsidP="003656A6">
            <w:pPr>
              <w:pStyle w:val="ListParagraph"/>
              <w:numPr>
                <w:ilvl w:val="0"/>
                <w:numId w:val="11"/>
              </w:numPr>
            </w:pPr>
            <w:r w:rsidRPr="002C4319">
              <w:t>Governing Bo</w:t>
            </w:r>
            <w:r w:rsidR="00040358">
              <w:t>dy</w:t>
            </w:r>
            <w:r w:rsidRPr="002C4319">
              <w:t xml:space="preserve"> Evaluation - consider arrangements for a self - review or commission an external review</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2C4319" w:rsidRDefault="005C1FCA" w:rsidP="003656A6">
            <w:pPr>
              <w:pStyle w:val="ListParagraph"/>
              <w:numPr>
                <w:ilvl w:val="0"/>
                <w:numId w:val="11"/>
              </w:numPr>
            </w:pPr>
            <w:r w:rsidRPr="002C4319">
              <w:t>Governor Monitoring Visits (Learning Walks) - agree schedule of focussed visits and receive and evaluate any reports from governors who have undertaken this monitoring role</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Default="005C1FCA" w:rsidP="003656A6">
            <w:pPr>
              <w:pStyle w:val="ListParagraph"/>
              <w:numPr>
                <w:ilvl w:val="0"/>
                <w:numId w:val="11"/>
              </w:numPr>
            </w:pPr>
            <w:proofErr w:type="spellStart"/>
            <w:r w:rsidRPr="002C4319">
              <w:t>Headteacher</w:t>
            </w:r>
            <w:r>
              <w:t>’</w:t>
            </w:r>
            <w:r w:rsidRPr="002C4319">
              <w:t>s</w:t>
            </w:r>
            <w:proofErr w:type="spellEnd"/>
            <w:r w:rsidRPr="002C4319">
              <w:t xml:space="preserve"> report - consider and question the HT report including key information e.g. attendance, safeguarding, </w:t>
            </w:r>
            <w:r w:rsidR="00040358">
              <w:t xml:space="preserve">SEND, </w:t>
            </w:r>
            <w:r w:rsidRPr="002C4319">
              <w:t>exclusions, racist incidents, homophobic  incidents, LAC progress etc.</w:t>
            </w:r>
          </w:p>
        </w:tc>
        <w:tc>
          <w:tcPr>
            <w:tcW w:w="2410" w:type="dxa"/>
          </w:tcPr>
          <w:p w:rsidR="005C1FCA" w:rsidRDefault="005C1FCA" w:rsidP="003E6A35"/>
        </w:tc>
      </w:tr>
      <w:tr w:rsidR="005C1FCA" w:rsidTr="0008392B">
        <w:tc>
          <w:tcPr>
            <w:tcW w:w="461" w:type="dxa"/>
            <w:vMerge/>
          </w:tcPr>
          <w:p w:rsidR="005C1FCA" w:rsidRDefault="005C1FCA" w:rsidP="003E6A35"/>
        </w:tc>
        <w:tc>
          <w:tcPr>
            <w:tcW w:w="12150" w:type="dxa"/>
          </w:tcPr>
          <w:p w:rsidR="005C1FCA" w:rsidRPr="002C4319" w:rsidRDefault="00422639" w:rsidP="003656A6">
            <w:pPr>
              <w:pStyle w:val="ListParagraph"/>
              <w:numPr>
                <w:ilvl w:val="0"/>
                <w:numId w:val="11"/>
              </w:numPr>
            </w:pPr>
            <w:r>
              <w:t>Review any external reports e.g. commissioned reviews, LA visits etc.</w:t>
            </w:r>
            <w:bookmarkStart w:id="0" w:name="_GoBack"/>
            <w:bookmarkEnd w:id="0"/>
          </w:p>
        </w:tc>
        <w:tc>
          <w:tcPr>
            <w:tcW w:w="2410" w:type="dxa"/>
          </w:tcPr>
          <w:p w:rsidR="005C1FCA" w:rsidRDefault="005C1FCA" w:rsidP="003E6A35"/>
        </w:tc>
      </w:tr>
    </w:tbl>
    <w:p w:rsidR="00A61929" w:rsidRDefault="00A61929" w:rsidP="0053702C"/>
    <w:sectPr w:rsidR="00A61929" w:rsidSect="00B208B3">
      <w:headerReference w:type="default" r:id="rId11"/>
      <w:footerReference w:type="default" r:id="rId12"/>
      <w:pgSz w:w="16838" w:h="11906" w:orient="landscape"/>
      <w:pgMar w:top="1418" w:right="720" w:bottom="284"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76" w:rsidRDefault="00B60D76" w:rsidP="0061651D">
      <w:pPr>
        <w:spacing w:after="0" w:line="240" w:lineRule="auto"/>
      </w:pPr>
      <w:r>
        <w:separator/>
      </w:r>
    </w:p>
  </w:endnote>
  <w:endnote w:type="continuationSeparator" w:id="0">
    <w:p w:rsidR="00B60D76" w:rsidRDefault="00B60D76" w:rsidP="0061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44121"/>
      <w:docPartObj>
        <w:docPartGallery w:val="Page Numbers (Bottom of Page)"/>
        <w:docPartUnique/>
      </w:docPartObj>
    </w:sdtPr>
    <w:sdtEndPr>
      <w:rPr>
        <w:noProof/>
      </w:rPr>
    </w:sdtEndPr>
    <w:sdtContent>
      <w:p w:rsidR="00B60D76" w:rsidRDefault="00B60D76" w:rsidP="00B208B3">
        <w:pPr>
          <w:pStyle w:val="Footer"/>
          <w:spacing w:before="60"/>
          <w:jc w:val="center"/>
        </w:pPr>
        <w:r>
          <w:fldChar w:fldCharType="begin"/>
        </w:r>
        <w:r>
          <w:instrText xml:space="preserve"> PAGE   \* MERGEFORMAT </w:instrText>
        </w:r>
        <w:r>
          <w:fldChar w:fldCharType="separate"/>
        </w:r>
        <w:r w:rsidR="00F50D5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76" w:rsidRDefault="00B60D76" w:rsidP="0061651D">
      <w:pPr>
        <w:spacing w:after="0" w:line="240" w:lineRule="auto"/>
      </w:pPr>
      <w:r>
        <w:separator/>
      </w:r>
    </w:p>
  </w:footnote>
  <w:footnote w:type="continuationSeparator" w:id="0">
    <w:p w:rsidR="00B60D76" w:rsidRDefault="00B60D76" w:rsidP="00616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76" w:rsidRDefault="0037281A">
    <w:pPr>
      <w:pStyle w:val="Header"/>
    </w:pPr>
    <w:r w:rsidRPr="00E47770">
      <w:rPr>
        <w:rFonts w:ascii="Arial" w:hAnsi="Arial" w:cs="Arial"/>
        <w:b/>
        <w:noProof/>
        <w:color w:val="2E74B5" w:themeColor="accent1" w:themeShade="BF"/>
        <w:sz w:val="36"/>
        <w:szCs w:val="36"/>
        <w:lang w:eastAsia="en-GB"/>
      </w:rPr>
      <w:drawing>
        <wp:anchor distT="0" distB="0" distL="0" distR="0" simplePos="0" relativeHeight="251659264" behindDoc="0" locked="0" layoutInCell="1" allowOverlap="1" wp14:anchorId="544F5F27" wp14:editId="04024C2A">
          <wp:simplePos x="0" y="0"/>
          <wp:positionH relativeFrom="margin">
            <wp:align>left</wp:align>
          </wp:positionH>
          <wp:positionV relativeFrom="paragraph">
            <wp:posOffset>47625</wp:posOffset>
          </wp:positionV>
          <wp:extent cx="842087" cy="709128"/>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2087" cy="709128"/>
                  </a:xfrm>
                  <a:prstGeom prst="rect">
                    <a:avLst/>
                  </a:prstGeom>
                </pic:spPr>
              </pic:pic>
            </a:graphicData>
          </a:graphic>
          <wp14:sizeRelH relativeFrom="margin">
            <wp14:pctWidth>0</wp14:pctWidth>
          </wp14:sizeRelH>
          <wp14:sizeRelV relativeFrom="margin">
            <wp14:pctHeight>0</wp14:pctHeight>
          </wp14:sizeRelV>
        </wp:anchor>
      </w:drawing>
    </w:r>
    <w:r w:rsidRPr="00E47770">
      <w:rPr>
        <w:rFonts w:ascii="Arial" w:hAnsi="Arial" w:cs="Arial"/>
        <w:b/>
        <w:noProof/>
        <w:color w:val="2E74B5" w:themeColor="accent1" w:themeShade="BF"/>
        <w:sz w:val="36"/>
        <w:szCs w:val="36"/>
        <w:lang w:eastAsia="en-GB"/>
      </w:rPr>
      <w:drawing>
        <wp:anchor distT="0" distB="0" distL="114300" distR="114300" simplePos="0" relativeHeight="251660288" behindDoc="0" locked="0" layoutInCell="1" allowOverlap="1" wp14:anchorId="4E2E75A9" wp14:editId="6764A34B">
          <wp:simplePos x="0" y="0"/>
          <wp:positionH relativeFrom="margin">
            <wp:posOffset>8754745</wp:posOffset>
          </wp:positionH>
          <wp:positionV relativeFrom="paragraph">
            <wp:posOffset>78105</wp:posOffset>
          </wp:positionV>
          <wp:extent cx="825781" cy="59661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2" cstate="print">
                    <a:extLst>
                      <a:ext uri="{28A0092B-C50C-407E-A947-70E740481C1C}">
                        <a14:useLocalDpi xmlns:a14="http://schemas.microsoft.com/office/drawing/2010/main" val="0"/>
                      </a:ext>
                    </a:extLst>
                  </a:blip>
                  <a:srcRect r="14438" b="15235"/>
                  <a:stretch/>
                </pic:blipFill>
                <pic:spPr bwMode="auto">
                  <a:xfrm>
                    <a:off x="0" y="0"/>
                    <a:ext cx="825781" cy="596614"/>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8B"/>
    <w:multiLevelType w:val="hybridMultilevel"/>
    <w:tmpl w:val="C6566086"/>
    <w:lvl w:ilvl="0" w:tplc="9850B8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49E"/>
    <w:multiLevelType w:val="hybridMultilevel"/>
    <w:tmpl w:val="6786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24E1"/>
    <w:multiLevelType w:val="hybridMultilevel"/>
    <w:tmpl w:val="215C2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C6B11"/>
    <w:multiLevelType w:val="hybridMultilevel"/>
    <w:tmpl w:val="5854E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3CA6"/>
    <w:multiLevelType w:val="hybridMultilevel"/>
    <w:tmpl w:val="C57E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F1C41"/>
    <w:multiLevelType w:val="hybridMultilevel"/>
    <w:tmpl w:val="479C79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37225"/>
    <w:multiLevelType w:val="hybridMultilevel"/>
    <w:tmpl w:val="A798EE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FA59B4"/>
    <w:multiLevelType w:val="hybridMultilevel"/>
    <w:tmpl w:val="28440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3024F"/>
    <w:multiLevelType w:val="hybridMultilevel"/>
    <w:tmpl w:val="3D7AF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72763"/>
    <w:multiLevelType w:val="hybridMultilevel"/>
    <w:tmpl w:val="1E1EB1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EF128D"/>
    <w:multiLevelType w:val="hybridMultilevel"/>
    <w:tmpl w:val="BBCC2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27E28"/>
    <w:multiLevelType w:val="hybridMultilevel"/>
    <w:tmpl w:val="477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E2B4F"/>
    <w:multiLevelType w:val="hybridMultilevel"/>
    <w:tmpl w:val="702244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B7317"/>
    <w:multiLevelType w:val="hybridMultilevel"/>
    <w:tmpl w:val="7E6A2B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E93BC7"/>
    <w:multiLevelType w:val="hybridMultilevel"/>
    <w:tmpl w:val="0158C5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473B5"/>
    <w:multiLevelType w:val="hybridMultilevel"/>
    <w:tmpl w:val="C966F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84C65"/>
    <w:multiLevelType w:val="hybridMultilevel"/>
    <w:tmpl w:val="03FE98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1F2087"/>
    <w:multiLevelType w:val="hybridMultilevel"/>
    <w:tmpl w:val="4BD6D6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43832"/>
    <w:multiLevelType w:val="hybridMultilevel"/>
    <w:tmpl w:val="D2D6F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94DE4"/>
    <w:multiLevelType w:val="hybridMultilevel"/>
    <w:tmpl w:val="B03EA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D097D"/>
    <w:multiLevelType w:val="hybridMultilevel"/>
    <w:tmpl w:val="7928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D455B"/>
    <w:multiLevelType w:val="hybridMultilevel"/>
    <w:tmpl w:val="D53849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636854"/>
    <w:multiLevelType w:val="hybridMultilevel"/>
    <w:tmpl w:val="32A8B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087"/>
    <w:multiLevelType w:val="hybridMultilevel"/>
    <w:tmpl w:val="66CE4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651C2"/>
    <w:multiLevelType w:val="hybridMultilevel"/>
    <w:tmpl w:val="66343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25521"/>
    <w:multiLevelType w:val="hybridMultilevel"/>
    <w:tmpl w:val="68BA32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E66458"/>
    <w:multiLevelType w:val="hybridMultilevel"/>
    <w:tmpl w:val="BCA48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20F16"/>
    <w:multiLevelType w:val="hybridMultilevel"/>
    <w:tmpl w:val="0108E2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1D1CF0"/>
    <w:multiLevelType w:val="hybridMultilevel"/>
    <w:tmpl w:val="B0EA9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A08E3"/>
    <w:multiLevelType w:val="hybridMultilevel"/>
    <w:tmpl w:val="359C0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0417F"/>
    <w:multiLevelType w:val="hybridMultilevel"/>
    <w:tmpl w:val="AE406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F73CB"/>
    <w:multiLevelType w:val="hybridMultilevel"/>
    <w:tmpl w:val="F9167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1325C"/>
    <w:multiLevelType w:val="hybridMultilevel"/>
    <w:tmpl w:val="6A4C71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64403"/>
    <w:multiLevelType w:val="hybridMultilevel"/>
    <w:tmpl w:val="D15EA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00914"/>
    <w:multiLevelType w:val="hybridMultilevel"/>
    <w:tmpl w:val="011CF7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2E7A46"/>
    <w:multiLevelType w:val="hybridMultilevel"/>
    <w:tmpl w:val="25580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5332F"/>
    <w:multiLevelType w:val="hybridMultilevel"/>
    <w:tmpl w:val="64F0E6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18610B"/>
    <w:multiLevelType w:val="hybridMultilevel"/>
    <w:tmpl w:val="5BB0EA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17"/>
  </w:num>
  <w:num w:numId="5">
    <w:abstractNumId w:val="32"/>
  </w:num>
  <w:num w:numId="6">
    <w:abstractNumId w:val="22"/>
  </w:num>
  <w:num w:numId="7">
    <w:abstractNumId w:val="12"/>
  </w:num>
  <w:num w:numId="8">
    <w:abstractNumId w:val="33"/>
  </w:num>
  <w:num w:numId="9">
    <w:abstractNumId w:val="36"/>
  </w:num>
  <w:num w:numId="10">
    <w:abstractNumId w:val="31"/>
  </w:num>
  <w:num w:numId="11">
    <w:abstractNumId w:val="25"/>
  </w:num>
  <w:num w:numId="12">
    <w:abstractNumId w:val="16"/>
  </w:num>
  <w:num w:numId="13">
    <w:abstractNumId w:val="10"/>
  </w:num>
  <w:num w:numId="14">
    <w:abstractNumId w:val="19"/>
  </w:num>
  <w:num w:numId="15">
    <w:abstractNumId w:val="21"/>
  </w:num>
  <w:num w:numId="16">
    <w:abstractNumId w:val="24"/>
  </w:num>
  <w:num w:numId="17">
    <w:abstractNumId w:val="29"/>
  </w:num>
  <w:num w:numId="18">
    <w:abstractNumId w:val="6"/>
  </w:num>
  <w:num w:numId="19">
    <w:abstractNumId w:val="23"/>
  </w:num>
  <w:num w:numId="20">
    <w:abstractNumId w:val="26"/>
  </w:num>
  <w:num w:numId="21">
    <w:abstractNumId w:val="13"/>
  </w:num>
  <w:num w:numId="22">
    <w:abstractNumId w:val="30"/>
  </w:num>
  <w:num w:numId="23">
    <w:abstractNumId w:val="7"/>
  </w:num>
  <w:num w:numId="24">
    <w:abstractNumId w:val="0"/>
  </w:num>
  <w:num w:numId="25">
    <w:abstractNumId w:val="34"/>
  </w:num>
  <w:num w:numId="26">
    <w:abstractNumId w:val="15"/>
  </w:num>
  <w:num w:numId="27">
    <w:abstractNumId w:val="37"/>
  </w:num>
  <w:num w:numId="28">
    <w:abstractNumId w:val="8"/>
  </w:num>
  <w:num w:numId="29">
    <w:abstractNumId w:val="3"/>
  </w:num>
  <w:num w:numId="30">
    <w:abstractNumId w:val="2"/>
  </w:num>
  <w:num w:numId="31">
    <w:abstractNumId w:val="35"/>
  </w:num>
  <w:num w:numId="32">
    <w:abstractNumId w:val="4"/>
  </w:num>
  <w:num w:numId="33">
    <w:abstractNumId w:val="27"/>
  </w:num>
  <w:num w:numId="34">
    <w:abstractNumId w:val="28"/>
  </w:num>
  <w:num w:numId="35">
    <w:abstractNumId w:val="5"/>
  </w:num>
  <w:num w:numId="36">
    <w:abstractNumId w:val="14"/>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14"/>
    <w:rsid w:val="000328DC"/>
    <w:rsid w:val="00040358"/>
    <w:rsid w:val="00044ED0"/>
    <w:rsid w:val="00054A4A"/>
    <w:rsid w:val="0008392B"/>
    <w:rsid w:val="000A1F4D"/>
    <w:rsid w:val="000B16FC"/>
    <w:rsid w:val="000E56A5"/>
    <w:rsid w:val="00101318"/>
    <w:rsid w:val="0012219A"/>
    <w:rsid w:val="0016132C"/>
    <w:rsid w:val="001958A3"/>
    <w:rsid w:val="001D729B"/>
    <w:rsid w:val="001E3B02"/>
    <w:rsid w:val="00217C04"/>
    <w:rsid w:val="0029605F"/>
    <w:rsid w:val="002C11C6"/>
    <w:rsid w:val="002E41A5"/>
    <w:rsid w:val="00341E12"/>
    <w:rsid w:val="00356D9A"/>
    <w:rsid w:val="003656A6"/>
    <w:rsid w:val="0037108C"/>
    <w:rsid w:val="0037281A"/>
    <w:rsid w:val="0038128D"/>
    <w:rsid w:val="00385E11"/>
    <w:rsid w:val="003877EB"/>
    <w:rsid w:val="003C0B2B"/>
    <w:rsid w:val="003E6A35"/>
    <w:rsid w:val="00404D5D"/>
    <w:rsid w:val="00422639"/>
    <w:rsid w:val="00442CC8"/>
    <w:rsid w:val="00445A42"/>
    <w:rsid w:val="00457E46"/>
    <w:rsid w:val="00460A8A"/>
    <w:rsid w:val="00465015"/>
    <w:rsid w:val="004A1619"/>
    <w:rsid w:val="004A67DA"/>
    <w:rsid w:val="004B1F7D"/>
    <w:rsid w:val="004D6406"/>
    <w:rsid w:val="005208BC"/>
    <w:rsid w:val="0052786B"/>
    <w:rsid w:val="005363D7"/>
    <w:rsid w:val="0053702C"/>
    <w:rsid w:val="0054433F"/>
    <w:rsid w:val="00545504"/>
    <w:rsid w:val="00586017"/>
    <w:rsid w:val="005C1FCA"/>
    <w:rsid w:val="005E1DF8"/>
    <w:rsid w:val="005F22AF"/>
    <w:rsid w:val="0061651D"/>
    <w:rsid w:val="00617AFF"/>
    <w:rsid w:val="006272E4"/>
    <w:rsid w:val="00670AEE"/>
    <w:rsid w:val="0067739A"/>
    <w:rsid w:val="0069793F"/>
    <w:rsid w:val="006B17D9"/>
    <w:rsid w:val="00714009"/>
    <w:rsid w:val="007309C6"/>
    <w:rsid w:val="007716D1"/>
    <w:rsid w:val="0078387C"/>
    <w:rsid w:val="007A54F5"/>
    <w:rsid w:val="007B2A6D"/>
    <w:rsid w:val="007C6611"/>
    <w:rsid w:val="007E71EF"/>
    <w:rsid w:val="00884F55"/>
    <w:rsid w:val="00892716"/>
    <w:rsid w:val="008A7C2F"/>
    <w:rsid w:val="008C540F"/>
    <w:rsid w:val="008D1AEF"/>
    <w:rsid w:val="00967E0E"/>
    <w:rsid w:val="009852A8"/>
    <w:rsid w:val="0099097C"/>
    <w:rsid w:val="009A2045"/>
    <w:rsid w:val="00A02EE2"/>
    <w:rsid w:val="00A54BB1"/>
    <w:rsid w:val="00A61929"/>
    <w:rsid w:val="00A62411"/>
    <w:rsid w:val="00A7472B"/>
    <w:rsid w:val="00A87586"/>
    <w:rsid w:val="00AA3A18"/>
    <w:rsid w:val="00AA67E9"/>
    <w:rsid w:val="00AD5245"/>
    <w:rsid w:val="00AF4A3E"/>
    <w:rsid w:val="00B208B3"/>
    <w:rsid w:val="00B557C5"/>
    <w:rsid w:val="00B60D76"/>
    <w:rsid w:val="00B6100E"/>
    <w:rsid w:val="00B7127E"/>
    <w:rsid w:val="00B87401"/>
    <w:rsid w:val="00B941D5"/>
    <w:rsid w:val="00B96E97"/>
    <w:rsid w:val="00BF605B"/>
    <w:rsid w:val="00C10471"/>
    <w:rsid w:val="00C64FB0"/>
    <w:rsid w:val="00C67F77"/>
    <w:rsid w:val="00CB07AE"/>
    <w:rsid w:val="00CD2807"/>
    <w:rsid w:val="00D101E5"/>
    <w:rsid w:val="00D17222"/>
    <w:rsid w:val="00D9194B"/>
    <w:rsid w:val="00D932E0"/>
    <w:rsid w:val="00E27014"/>
    <w:rsid w:val="00E27C1D"/>
    <w:rsid w:val="00E34710"/>
    <w:rsid w:val="00E45704"/>
    <w:rsid w:val="00E5620D"/>
    <w:rsid w:val="00E66546"/>
    <w:rsid w:val="00E8609C"/>
    <w:rsid w:val="00ED44BD"/>
    <w:rsid w:val="00EE3E44"/>
    <w:rsid w:val="00F102C7"/>
    <w:rsid w:val="00F50D52"/>
    <w:rsid w:val="00F5390C"/>
    <w:rsid w:val="00F5515B"/>
    <w:rsid w:val="00F6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BA61A"/>
  <w15:chartTrackingRefBased/>
  <w15:docId w15:val="{E4C60C20-4119-4F89-B420-8BC63D9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5"/>
    <w:pPr>
      <w:ind w:left="720"/>
      <w:contextualSpacing/>
    </w:pPr>
  </w:style>
  <w:style w:type="character" w:styleId="Hyperlink">
    <w:name w:val="Hyperlink"/>
    <w:basedOn w:val="DefaultParagraphFont"/>
    <w:uiPriority w:val="99"/>
    <w:unhideWhenUsed/>
    <w:rsid w:val="003C0B2B"/>
    <w:rPr>
      <w:color w:val="0563C1" w:themeColor="hyperlink"/>
      <w:u w:val="single"/>
    </w:rPr>
  </w:style>
  <w:style w:type="paragraph" w:styleId="Header">
    <w:name w:val="header"/>
    <w:basedOn w:val="Normal"/>
    <w:link w:val="HeaderChar"/>
    <w:uiPriority w:val="99"/>
    <w:unhideWhenUsed/>
    <w:rsid w:val="00616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51D"/>
  </w:style>
  <w:style w:type="paragraph" w:styleId="Footer">
    <w:name w:val="footer"/>
    <w:basedOn w:val="Normal"/>
    <w:link w:val="FooterChar"/>
    <w:uiPriority w:val="99"/>
    <w:unhideWhenUsed/>
    <w:rsid w:val="00616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51D"/>
  </w:style>
  <w:style w:type="paragraph" w:styleId="BalloonText">
    <w:name w:val="Balloon Text"/>
    <w:basedOn w:val="Normal"/>
    <w:link w:val="BalloonTextChar"/>
    <w:uiPriority w:val="99"/>
    <w:semiHidden/>
    <w:unhideWhenUsed/>
    <w:rsid w:val="005C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CA"/>
    <w:rPr>
      <w:rFonts w:ascii="Segoe UI" w:hAnsi="Segoe UI" w:cs="Segoe UI"/>
      <w:sz w:val="18"/>
      <w:szCs w:val="18"/>
    </w:rPr>
  </w:style>
  <w:style w:type="character" w:styleId="FollowedHyperlink">
    <w:name w:val="FollowedHyperlink"/>
    <w:basedOn w:val="DefaultParagraphFont"/>
    <w:uiPriority w:val="99"/>
    <w:semiHidden/>
    <w:unhideWhenUsed/>
    <w:rsid w:val="00D91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what-maintained-schools-must-publish-online" TargetMode="External"/><Relationship Id="rId4" Type="http://schemas.openxmlformats.org/officeDocument/2006/relationships/settings" Target="settings.xml"/><Relationship Id="rId9" Type="http://schemas.openxmlformats.org/officeDocument/2006/relationships/hyperlink" Target="https://www.gov.uk/guidance/what-maintained-schools-must-publish-on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02FB-B3AB-4D0A-8F5E-13FFD584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Crame</dc:creator>
  <cp:keywords/>
  <dc:description/>
  <cp:lastModifiedBy>June Crame</cp:lastModifiedBy>
  <cp:revision>3</cp:revision>
  <cp:lastPrinted>2020-03-12T16:51:00Z</cp:lastPrinted>
  <dcterms:created xsi:type="dcterms:W3CDTF">2020-05-22T11:19:00Z</dcterms:created>
  <dcterms:modified xsi:type="dcterms:W3CDTF">2020-05-22T11:21:00Z</dcterms:modified>
</cp:coreProperties>
</file>